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40d40a024b46f3" /></Relationships>
</file>

<file path=word/document.xml><?xml version="1.0" encoding="utf-8"?>
<w:document xmlns:w="http://schemas.openxmlformats.org/wordprocessingml/2006/main">
  <w:body>
    <w:p>
      <w:r>
        <w:t>H-4284.1</w:t>
      </w:r>
    </w:p>
    <w:p>
      <w:pPr>
        <w:jc w:val="center"/>
      </w:pPr>
      <w:r>
        <w:t>_______________________________________________</w:t>
      </w:r>
    </w:p>
    <w:p/>
    <w:p>
      <w:pPr>
        <w:jc w:val="center"/>
      </w:pPr>
      <w:r>
        <w:rPr>
          <w:b/>
        </w:rPr>
        <w:t>SUBSTITUTE HOUSE BILL 1897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Gregerson, Santos, and Stanford)</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fairness and compliance with public works and procurement practices; amending RCW 39.19.020, 39.19.060, 39.19.080, 39.19.090, 39.19.200, 39.19.250, 39.04.155, and 39.12.040; adding a new section to chapter 39.19 RCW; prescribing penalties;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rPr>
          <w:u w:val="single"/>
        </w:rPr>
        <w:t xml:space="preserve">(1)(a)</w:t>
      </w:r>
      <w:r>
        <w:rPr/>
        <w:t xml:space="preserve"> If a person, firm, corporation, or business does not comply with any provision of this chapter </w:t>
      </w:r>
      <w:r>
        <w:t>((</w:t>
      </w:r>
      <w:r>
        <w:rPr>
          <w:strike/>
        </w:rPr>
        <w:t xml:space="preserve">or</w:t>
      </w:r>
      <w:r>
        <w:t>))</w:t>
      </w:r>
      <w:r>
        <w:rPr/>
        <w:t xml:space="preserve"> </w:t>
      </w:r>
      <w:r>
        <w:rPr>
          <w:u w:val="single"/>
        </w:rPr>
        <w:t xml:space="preserve">other than RCW 39.19.080, or does not comply</w:t>
      </w:r>
      <w:r>
        <w:rPr/>
        <w:t xml:space="preserve">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ten percent of the amount of the contract or up to five thousand dollars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ten percent of the amount of the contract or between one and five thousand dollars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investigation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The director and the investigation unit are authorized to receive criminal history record information that includes nonconviction data for any purpose associated with the investigation of fraud or for violations of this chapter. Dissemination or use of nonconviction data for purposes other than that authorized in this section is prohibited.</w:t>
      </w:r>
    </w:p>
    <w:p>
      <w:pPr>
        <w:spacing w:before="0" w:after="0" w:line="408" w:lineRule="exact"/>
        <w:ind w:left="0" w:right="0" w:firstLine="576"/>
        <w:jc w:val="left"/>
      </w:pPr>
      <w:r>
        <w:rPr>
          <w:u w:val="single"/>
        </w:rPr>
        <w:t xml:space="preserve">(c)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(d) Subpoenas issued under this section may be enforced under RCW 34.05.588.</w:t>
      </w:r>
    </w:p>
    <w:p>
      <w:pPr>
        <w:spacing w:before="0" w:after="0" w:line="408" w:lineRule="exact"/>
        <w:ind w:left="0" w:right="0" w:firstLine="576"/>
        <w:jc w:val="left"/>
      </w:pPr>
      <w:r>
        <w:rPr>
          <w:u w:val="single"/>
        </w:rPr>
        <w:t xml:space="preserve">(e) The investigation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w:t>
      </w:r>
      <w:r>
        <w:t>((</w:t>
      </w:r>
      <w:r>
        <w:rPr>
          <w:strike/>
        </w:rPr>
        <w:t xml:space="preserve">may</w:t>
      </w:r>
      <w:r>
        <w:t>))</w:t>
      </w:r>
      <w:r>
        <w:rPr/>
        <w:t xml:space="preserve"> </w:t>
      </w:r>
      <w:r>
        <w:rPr>
          <w:u w:val="single"/>
        </w:rPr>
        <w:t xml:space="preserve">must</w:t>
      </w:r>
      <w:r>
        <w:rPr/>
        <w:t xml:space="preserve">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 </w:t>
      </w:r>
      <w:r>
        <w:rPr>
          <w:u w:val="single"/>
        </w:rPr>
        <w:t xml:space="preserve">Recovery of unpaid wages and benefits are the first priority for actions filed against the retainage.</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one hundred 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w:t>
      </w:r>
      <w:r>
        <w:t>((</w:t>
      </w:r>
      <w:r>
        <w:rPr>
          <w:strike/>
        </w:rPr>
        <w:t xml:space="preserve">chapter 60.28</w:t>
      </w:r>
      <w:r>
        <w:t>))</w:t>
      </w:r>
      <w:r>
        <w:rPr/>
        <w:t xml:space="preserve"> RCW </w:t>
      </w:r>
      <w:r>
        <w:rPr>
          <w:u w:val="single"/>
        </w:rPr>
        <w:t xml:space="preserve">60.28.011(1)(a)</w:t>
      </w:r>
      <w:r>
        <w:rPr/>
        <w:t xml:space="preserve">, thereby assuming the liability for the contractor's nonpayment of laborers, mechanics, subcontractors, materialpersons, suppliers, and taxes </w:t>
      </w:r>
      <w:r>
        <w:t>((</w:t>
      </w:r>
      <w:r>
        <w:rPr>
          <w:strike/>
        </w:rPr>
        <w:t xml:space="preserve">imposed under Title</w:t>
      </w:r>
      <w:r>
        <w:t>))</w:t>
      </w:r>
      <w:r>
        <w:rPr>
          <w:u w:val="single"/>
        </w:rPr>
        <w:t xml:space="preserve">, increases, and penalties imposed under Titles 50, 51, and</w:t>
      </w:r>
      <w:r>
        <w:rPr/>
        <w:t xml:space="preserv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0" w:after="0" w:line="408" w:lineRule="exact"/>
        <w:ind w:left="0" w:right="0" w:firstLine="576"/>
        <w:jc w:val="left"/>
      </w:pPr>
      <w:r>
        <w:rPr>
          <w:u w:val="single"/>
        </w:rPr>
        <w:t xml:space="preserve">(8) The joint legislative audit and review committee must review the implementation of the changes to the small works roster and limited public works processes in this section and report to the governor and appropriate committees of the legislature by December 1, 2019. The report must include recommendations for the furtherance of practices set out in this section and identify:</w:t>
      </w:r>
    </w:p>
    <w:p>
      <w:pPr>
        <w:spacing w:before="0" w:after="0" w:line="408" w:lineRule="exact"/>
        <w:ind w:left="0" w:right="0" w:firstLine="576"/>
        <w:jc w:val="left"/>
      </w:pPr>
      <w:r>
        <w:rPr>
          <w:u w:val="single"/>
        </w:rPr>
        <w:t xml:space="preserve">(a) Progress in the rates of participation of certain groups including, qualified minority and women-owned and controlled businesses, minibusinesses, and microbusinesses in the small works roster and limited public works contracting processes; and</w:t>
      </w:r>
    </w:p>
    <w:p>
      <w:pPr>
        <w:spacing w:before="0" w:after="0" w:line="408" w:lineRule="exact"/>
        <w:ind w:left="0" w:right="0" w:firstLine="576"/>
        <w:jc w:val="left"/>
      </w:pPr>
      <w:r>
        <w:rPr>
          <w:u w:val="single"/>
        </w:rPr>
        <w:t xml:space="preserve">(b) Barriers to improving the participation rate of qualified minority and women-owned and controlled businesses and the growth of minibusinesses and microbusinesses in the small works roster and limited public works contracting processes.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w:t>
      </w:r>
      <w:r>
        <w:t>((</w:t>
      </w:r>
      <w:r>
        <w:rPr>
          <w:strike/>
        </w:rPr>
        <w:t xml:space="preserve">pursuant to RCW 60.28.011(1)(b)</w:t>
      </w:r>
      <w:r>
        <w:t>))</w:t>
      </w:r>
      <w:r>
        <w:rPr/>
        <w:t xml:space="preserve">,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b9db711f967e4e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38d20b59f4e92" /><Relationship Type="http://schemas.openxmlformats.org/officeDocument/2006/relationships/footer" Target="/word/footer.xml" Id="Rb9db711f967e4e80" /></Relationships>
</file>