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cabd092d814f25" /></Relationships>
</file>

<file path=word/document.xml><?xml version="1.0" encoding="utf-8"?>
<w:document xmlns:w="http://schemas.openxmlformats.org/wordprocessingml/2006/main">
  <w:body>
    <w:p>
      <w:r>
        <w:t>H-0839.2</w:t>
      </w:r>
    </w:p>
    <w:p>
      <w:pPr>
        <w:jc w:val="center"/>
      </w:pPr>
      <w:r>
        <w:t>_______________________________________________</w:t>
      </w:r>
    </w:p>
    <w:p/>
    <w:p>
      <w:pPr>
        <w:jc w:val="center"/>
      </w:pPr>
      <w:r>
        <w:rPr>
          <w:b/>
        </w:rPr>
        <w:t>HOUSE BILL 1960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Chandler, Manweller, Wilcox, and Stokesbary</w:t>
      </w:r>
    </w:p>
    <w:p/>
    <w:p>
      <w:r>
        <w:rPr>
          <w:t xml:space="preserve">Read first time 02/06/17.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t>((</w:t>
      </w:r>
      <w:r>
        <w:rPr>
          <w:strike/>
        </w:rPr>
        <w:t xml:space="preserve">such</w:t>
      </w:r>
      <w:r>
        <w:t>))</w:t>
      </w:r>
      <w:r>
        <w:rPr/>
        <w:t xml:space="preserve"> </w:t>
      </w:r>
      <w:r>
        <w:rPr>
          <w:u w:val="single"/>
        </w:rPr>
        <w:t xml:space="preserve">these</w:t>
      </w:r>
      <w:r>
        <w:rPr/>
        <w:t xml:space="preserve"> statements of fiscal impact, </w:t>
      </w:r>
      <w:r>
        <w:t>((</w:t>
      </w:r>
      <w:r>
        <w:rPr>
          <w:strike/>
        </w:rPr>
        <w:t xml:space="preserve">which shall be known as fiscal notes,</w:t>
      </w:r>
      <w:r>
        <w:t>))</w:t>
      </w:r>
      <w:r>
        <w:rPr/>
        <w:t xml:space="preserve"> requires the designation of a state agency to be principally responsible </w:t>
      </w:r>
      <w:r>
        <w:t>((</w:t>
      </w:r>
      <w:r>
        <w:rPr>
          <w:strike/>
        </w:rPr>
        <w:t xml:space="preserve">therefor</w:t>
      </w:r>
      <w:r>
        <w:t>))</w:t>
      </w:r>
      <w:r>
        <w:rPr/>
        <w:t xml:space="preserve"> </w:t>
      </w:r>
      <w:r>
        <w:rPr>
          <w:u w:val="single"/>
        </w:rPr>
        <w:t xml:space="preserve">for the statements. The statements are to be generally known as fiscal notes and dynamic fiscal impact statements. Dynamic fiscal impact statements may be included in certain fiscal notes in accordance with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By July 1, 2018, the office of financial management must, in consultation with the economic and revenue forecast council, establish the process and methodology for dynamic fiscal impact statements and dynamic impact estimates.</w:t>
      </w:r>
    </w:p>
    <w:p>
      <w:pPr>
        <w:spacing w:before="0" w:after="0" w:line="408" w:lineRule="exact"/>
        <w:ind w:left="0" w:right="0" w:firstLine="576"/>
        <w:jc w:val="left"/>
      </w:pPr>
      <w:r>
        <w:rPr/>
        <w:t xml:space="preserve">(3) Dynamic fiscal impact statements may be produced only on request from a member of the senate ways and means committee, house of representatives appropriations committee, house of representatives finance committee, or any successor committee to these committees.</w:t>
      </w:r>
    </w:p>
    <w:p>
      <w:pPr>
        <w:spacing w:before="0" w:after="0" w:line="408" w:lineRule="exact"/>
        <w:ind w:left="0" w:right="0" w:firstLine="576"/>
        <w:jc w:val="left"/>
      </w:pPr>
      <w:r>
        <w:rPr/>
        <w:t xml:space="preserve">(4) Dynamic fiscal impact statements may not be made unless: (a) The fiscal note in which it would be contained reflects a positive or negative revenue impact of more than ten million dollars per fiscal year; or (b) the proposed or draft legislation is a broad-based business or labor regulation reasonably likely to exceed ten million dollars per year in impact on business.</w:t>
      </w:r>
    </w:p>
    <w:p>
      <w:pPr>
        <w:spacing w:before="0" w:after="0" w:line="408" w:lineRule="exact"/>
        <w:ind w:left="0" w:right="0" w:firstLine="576"/>
        <w:jc w:val="left"/>
      </w:pPr>
      <w:r>
        <w:rPr/>
        <w:t xml:space="preserve">(5) Requests for dynamic fiscal impact statements on existing or draft legislation must be submitted to the office of financial management at least sixty days before the beginning of a regular legislative session.</w:t>
      </w:r>
    </w:p>
    <w:p>
      <w:pPr>
        <w:spacing w:before="0" w:after="0" w:line="408" w:lineRule="exact"/>
        <w:ind w:left="0" w:right="0" w:firstLine="576"/>
        <w:jc w:val="left"/>
      </w:pPr>
      <w:r>
        <w:rPr/>
        <w:t xml:space="preserve">(6) Dynamic fiscal impact statements may not be updated when a bill or resolution is substantively amended during a legislative session. If the office of financial management determines that a substantive amendment to a bill or resolution would likely affect the dynamic impact estimate for that bill or resolution, the dynamic fiscal impact statement must be removed from any fiscal note that reflects the amendment.</w:t>
      </w:r>
    </w:p>
    <w:p>
      <w:pPr>
        <w:spacing w:before="0" w:after="0" w:line="408" w:lineRule="exact"/>
        <w:ind w:left="0" w:right="0" w:firstLine="576"/>
        <w:jc w:val="left"/>
      </w:pPr>
      <w:r>
        <w:rPr/>
        <w:t xml:space="preserve">(7) This section does not limit the provisions of chapter 43.132 RCW.</w:t>
      </w:r>
    </w:p>
    <w:p>
      <w:pPr>
        <w:spacing w:before="0" w:after="0" w:line="408" w:lineRule="exact"/>
        <w:ind w:left="0" w:right="0" w:firstLine="576"/>
        <w:jc w:val="left"/>
      </w:pPr>
      <w:r>
        <w:rPr/>
        <w:t xml:space="preserve">(8)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0" w:after="0" w:line="408" w:lineRule="exact"/>
        <w:ind w:left="0" w:right="0" w:firstLine="576"/>
        <w:jc w:val="left"/>
      </w:pPr>
      <w:r>
        <w:rPr/>
        <w:t xml:space="preserve">(9)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important for the legislature to have the best available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(2)(a) The director of the house of representatives office of program research and the director of senate committee services shall convene a work group to explore ways to improve and expand nonpartisan fiscal and program information available to the legislature. The directors are the cochairs of the work group.</w:t>
      </w:r>
    </w:p>
    <w:p>
      <w:pPr>
        <w:spacing w:before="0" w:after="0" w:line="408" w:lineRule="exact"/>
        <w:ind w:left="0" w:right="0" w:firstLine="576"/>
        <w:jc w:val="left"/>
      </w:pPr>
      <w:r>
        <w:rPr/>
        <w:t xml:space="preserve">(b) The work group shall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(c) The work group shall also inventory nonpartisan program and fiscal information made available to the public by the legislative branch including, but not limited to, information posted at fiscal.wa.gov, the web site for the legislative evaluation and accountability program, web sites for the house of representatives and senate, the web site of the joint legislative audit and review committee, and the web site for the Washington state institute for public policy. The inventory should also include materials on the web sites of the caseload forecast council and the economic and revenue forecast council. The work group must also inventory the use of dynamic spending and revenue estimates in other states, including their use in fiscal notes.</w:t>
      </w:r>
    </w:p>
    <w:p>
      <w:pPr>
        <w:spacing w:before="0" w:after="0" w:line="408" w:lineRule="exact"/>
        <w:ind w:left="0" w:right="0" w:firstLine="576"/>
        <w:jc w:val="left"/>
      </w:pPr>
      <w:r>
        <w:rPr/>
        <w:t xml:space="preserve">(d) The work group shall also recommend methods to:</w:t>
      </w:r>
    </w:p>
    <w:p>
      <w:pPr>
        <w:spacing w:before="0" w:after="0" w:line="408" w:lineRule="exact"/>
        <w:ind w:left="0" w:right="0" w:firstLine="576"/>
        <w:jc w:val="left"/>
      </w:pPr>
      <w:r>
        <w:rPr/>
        <w:t xml:space="preserve">(i) Improve the accuracy and timeliness of cost and revenue estimates for proposed legislation;</w:t>
      </w:r>
    </w:p>
    <w:p>
      <w:pPr>
        <w:spacing w:before="0" w:after="0" w:line="408" w:lineRule="exact"/>
        <w:ind w:left="0" w:right="0" w:firstLine="576"/>
        <w:jc w:val="left"/>
      </w:pPr>
      <w:r>
        <w:rPr/>
        <w:t xml:space="preserve">(ii) Improve the long-term budget projections for proposed and enacted budgets;</w:t>
      </w:r>
    </w:p>
    <w:p>
      <w:pPr>
        <w:spacing w:before="0" w:after="0" w:line="408" w:lineRule="exact"/>
        <w:ind w:left="0" w:right="0" w:firstLine="576"/>
        <w:jc w:val="left"/>
      </w:pPr>
      <w:r>
        <w:rPr/>
        <w:t xml:space="preserve">(iii) Improve and expand the regular reporting and analysis of state spending and revenue totals; and</w:t>
      </w:r>
    </w:p>
    <w:p>
      <w:pPr>
        <w:spacing w:before="0" w:after="0" w:line="408" w:lineRule="exact"/>
        <w:ind w:left="0" w:right="0" w:firstLine="576"/>
        <w:jc w:val="left"/>
      </w:pPr>
      <w:r>
        <w:rPr/>
        <w:t xml:space="preserve">(iv) To the extent practicable, include dynamic fiscal estimates in both revenue and expenditure estimates.</w:t>
      </w:r>
    </w:p>
    <w:p>
      <w:pPr>
        <w:spacing w:before="0" w:after="0" w:line="408" w:lineRule="exact"/>
        <w:ind w:left="0" w:right="0" w:firstLine="576"/>
        <w:jc w:val="left"/>
      </w:pPr>
      <w:r>
        <w:rPr/>
        <w:t xml:space="preserve">(e) As part of its work, the work group must analyze whether a new nonpartisan legislative fiscal agency should be created. In conducting the analysis, the work group must, at a minimum, examine models in other states including, but not limited to, the California legislative analyst's office. If the work group recommends the establishment of a new legislative agency, the recommendations must outline the responsibilities of the new nonpartisan legislative fiscal agency and whether any existing functions or entities should be transferred to or subsumed in the newly created nonpartisan legislative fiscal agency.</w:t>
      </w:r>
    </w:p>
    <w:p>
      <w:pPr>
        <w:spacing w:before="0" w:after="0" w:line="408" w:lineRule="exact"/>
        <w:ind w:left="0" w:right="0" w:firstLine="576"/>
        <w:jc w:val="left"/>
      </w:pPr>
      <w:r>
        <w:rPr/>
        <w:t xml:space="preserve">(f) In addition to the two cochairs, the work group is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Washington state institute for public policy; and</w:t>
      </w:r>
    </w:p>
    <w:p>
      <w:pPr>
        <w:spacing w:before="0" w:after="0" w:line="408" w:lineRule="exact"/>
        <w:ind w:left="0" w:right="0" w:firstLine="576"/>
        <w:jc w:val="left"/>
      </w:pPr>
      <w:r>
        <w:rPr/>
        <w:t xml:space="preserve">(v) One representative from the office of financial management.</w:t>
      </w:r>
    </w:p>
    <w:p>
      <w:pPr>
        <w:spacing w:before="0" w:after="0" w:line="408" w:lineRule="exact"/>
        <w:ind w:left="0" w:right="0" w:firstLine="576"/>
        <w:jc w:val="left"/>
      </w:pPr>
      <w:r>
        <w:rPr/>
        <w:t xml:space="preserve">(g) The first meeting of the work group must occur no later than August 1, 2017.</w:t>
      </w:r>
    </w:p>
    <w:p>
      <w:pPr>
        <w:spacing w:before="0" w:after="0" w:line="408" w:lineRule="exact"/>
        <w:ind w:left="0" w:right="0" w:firstLine="576"/>
        <w:jc w:val="left"/>
      </w:pPr>
      <w:r>
        <w:rPr/>
        <w:t xml:space="preserve">(h) The work group shall report its findings and recommendations to the governor and the appropriate committees of the legislature no later than December 1, 2018.</w:t>
      </w:r>
    </w:p>
    <w:p>
      <w:pPr>
        <w:spacing w:before="0" w:after="0" w:line="408" w:lineRule="exact"/>
        <w:ind w:left="0" w:right="0" w:firstLine="576"/>
        <w:jc w:val="left"/>
      </w:pPr>
      <w:r>
        <w:rPr/>
        <w:t xml:space="preserve">(3)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2023.</w:t>
      </w:r>
    </w:p>
    <w:p/>
    <w:p>
      <w:pPr>
        <w:jc w:val="center"/>
      </w:pPr>
      <w:r>
        <w:rPr>
          <w:b/>
        </w:rPr>
        <w:t>--- END ---</w:t>
      </w:r>
    </w:p>
    <w:sectPr>
      <w:pgNumType w:start="1"/>
      <w:footerReference xmlns:r="http://schemas.openxmlformats.org/officeDocument/2006/relationships" r:id="R393c1a80f2c34f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818a41960444d" /><Relationship Type="http://schemas.openxmlformats.org/officeDocument/2006/relationships/footer" Target="/word/footer.xml" Id="R393c1a80f2c34f29" /></Relationships>
</file>