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1f7ea3f8344491" /></Relationships>
</file>

<file path=word/document.xml><?xml version="1.0" encoding="utf-8"?>
<w:document xmlns:w="http://schemas.openxmlformats.org/wordprocessingml/2006/main">
  <w:body>
    <w:p>
      <w:r>
        <w:t>H-1582.1</w:t>
      </w:r>
    </w:p>
    <w:p>
      <w:pPr>
        <w:jc w:val="center"/>
      </w:pPr>
      <w:r>
        <w:t>_______________________________________________</w:t>
      </w:r>
    </w:p>
    <w:p/>
    <w:p>
      <w:pPr>
        <w:jc w:val="center"/>
      </w:pPr>
      <w:r>
        <w:rPr>
          <w:b/>
        </w:rPr>
        <w:t>HOUSE BILL 2071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Clibborn, Muri, McBride, Fey, Rodne, Wylie, Gregerson, Tarleton, and Morris</w:t>
      </w:r>
    </w:p>
    <w:p/>
    <w:p>
      <w:r>
        <w:rPr>
          <w:t xml:space="preserve">Read first time 02/10/17.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state route number 167 as a permanent eligible toll facility; amending RCW 47.56.403;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w:t>
      </w:r>
      <w:r>
        <w:t>((</w:t>
      </w:r>
      <w:r>
        <w:rPr>
          <w:strike/>
        </w:rPr>
        <w:t xml:space="preserve">a pilot project of</w:t>
      </w:r>
      <w:r>
        <w:t>))</w:t>
      </w:r>
      <w:r>
        <w:rPr/>
        <w:t xml:space="preserve"> high occupancy toll lanes on state route </w:t>
      </w:r>
      <w:r>
        <w:rPr>
          <w:u w:val="single"/>
        </w:rPr>
        <w:t xml:space="preserve">number</w:t>
      </w:r>
      <w:r>
        <w:rPr/>
        <w:t xml:space="preserve"> 167 high occupancy vehicle lanes within King county. </w:t>
      </w:r>
      <w:r>
        <w:rPr>
          <w:u w:val="single"/>
        </w:rPr>
        <w:t xml:space="preserve">State route number 167 is designated an eligible toll facility, and toll revenue generated in the corridor must only be expended as allowed under RCW 47.56.820.</w:t>
      </w:r>
      <w:r>
        <w:rPr/>
        <w:t xml:space="preserve"> The department may issue, buy, and redeem bonds, and deposit and expend them; secure and remit financial and other assistance in the construction of high occupancy toll lanes, carry insurance, and handle any other matters pertaining to the high occupancy toll lane</w:t>
      </w:r>
      <w:r>
        <w:rPr>
          <w:u w:val="single"/>
        </w:rPr>
        <w:t xml:space="preserve">s</w:t>
      </w:r>
      <w:r>
        <w:rPr/>
        <w:t xml:space="preserve"> </w:t>
      </w:r>
      <w:r>
        <w:t>((</w:t>
      </w:r>
      <w:r>
        <w:rPr>
          <w:strike/>
        </w:rPr>
        <w:t xml:space="preserve">pilot project</w:t>
      </w:r>
      <w:r>
        <w:t>))</w:t>
      </w:r>
      <w:r>
        <w:rPr/>
        <w:t xml:space="preserve">.</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w:t>
      </w:r>
      <w:r>
        <w:rPr>
          <w:u w:val="single"/>
        </w:rPr>
        <w:t xml:space="preserve">number</w:t>
      </w:r>
      <w:r>
        <w:rPr/>
        <w:t xml:space="preserve"> 167 high occupancy toll lane</w:t>
      </w:r>
      <w:r>
        <w:rPr>
          <w:u w:val="single"/>
        </w:rPr>
        <w:t xml:space="preserve">s</w:t>
      </w:r>
      <w:r>
        <w:rPr/>
        <w:t xml:space="preserve"> </w:t>
      </w:r>
      <w:r>
        <w:t>((</w:t>
      </w:r>
      <w:r>
        <w:rPr>
          <w:strike/>
        </w:rPr>
        <w:t xml:space="preserve">pilot project</w:t>
      </w:r>
      <w:r>
        <w:t>))</w:t>
      </w:r>
      <w:r>
        <w:rPr/>
        <w:t xml:space="preserve">.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w:t>
      </w:r>
      <w:r>
        <w:rPr>
          <w:u w:val="single"/>
        </w:rPr>
        <w:t xml:space="preserve">number</w:t>
      </w:r>
      <w:r>
        <w:rPr/>
        <w:t xml:space="preserve"> 167 high occupancy toll lane</w:t>
      </w:r>
      <w:r>
        <w:rPr>
          <w:u w:val="single"/>
        </w:rPr>
        <w:t xml:space="preserve">s</w:t>
      </w:r>
      <w:r>
        <w:rPr/>
        <w:t xml:space="preserve"> </w:t>
      </w:r>
      <w:r>
        <w:t>((</w:t>
      </w:r>
      <w:r>
        <w:rPr>
          <w:strike/>
        </w:rPr>
        <w:t xml:space="preserve">pilot project</w:t>
      </w:r>
      <w:r>
        <w:t>))</w:t>
      </w:r>
      <w:r>
        <w:rPr/>
        <w:t xml:space="preserve">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w:t>
      </w:r>
      <w:r>
        <w:t>((</w:t>
      </w:r>
      <w:r>
        <w:rPr>
          <w:strike/>
        </w:rPr>
        <w:t xml:space="preserve">pilot project</w:t>
      </w:r>
      <w:r>
        <w:t>))</w:t>
      </w:r>
      <w:r>
        <w:rPr/>
        <w:t xml:space="preserve"> </w:t>
      </w:r>
      <w:r>
        <w:rPr>
          <w:u w:val="single"/>
        </w:rPr>
        <w:t xml:space="preserve">high occupancy toll lanes</w:t>
      </w:r>
      <w:r>
        <w:rPr/>
        <w:t xml:space="preserve"> to address identified safety issues and mitigate negative impacts to high occupancy vehicle lane users.</w:t>
      </w:r>
    </w:p>
    <w:p>
      <w:pPr>
        <w:spacing w:before="0" w:after="0" w:line="408" w:lineRule="exact"/>
        <w:ind w:left="0" w:right="0" w:firstLine="576"/>
        <w:jc w:val="left"/>
      </w:pPr>
      <w:r>
        <w:rPr/>
        <w:t xml:space="preserve">(5) </w:t>
      </w:r>
      <w:r>
        <w:t>((</w:t>
      </w:r>
      <w:r>
        <w:rPr>
          <w:strike/>
        </w:rPr>
        <w:t xml:space="preserve">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strike/>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strike/>
        </w:rPr>
        <w:t xml:space="preserve">(b) If high occupancy vehicle tolls are being collected on June 30, 2017.</w:t>
      </w:r>
    </w:p>
    <w:p>
      <w:pPr>
        <w:spacing w:before="0" w:after="0" w:line="408" w:lineRule="exact"/>
        <w:ind w:left="0" w:right="0" w:firstLine="576"/>
        <w:jc w:val="left"/>
      </w:pPr>
      <w:r>
        <w:rPr>
          <w:strike/>
        </w:rPr>
        <w:t xml:space="preserve">(6)</w:t>
      </w:r>
      <w:r>
        <w:t>))</w:t>
      </w:r>
      <w:r>
        <w:rPr/>
        <w:t xml:space="preserve">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t>((</w:t>
      </w:r>
      <w:r>
        <w:rPr>
          <w:strike/>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A violation of the lane restrictions applicable to the high occupancy toll lanes established under this section is a traffic infraction.</w:t>
      </w:r>
    </w:p>
    <w:p>
      <w:pPr>
        <w:spacing w:before="0" w:after="0" w:line="408" w:lineRule="exact"/>
        <w:ind w:left="0" w:right="0" w:firstLine="576"/>
        <w:jc w:val="left"/>
      </w:pPr>
      <w:r>
        <w:t>((</w:t>
      </w:r>
      <w:r>
        <w:rPr>
          <w:strike/>
        </w:rPr>
        <w:t xml:space="preserve">(9) Procurement activity associated with this pilot project shall be open and competitive in accordance with chapter 39.29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bff20fe0a4b4d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d59280c464c83" /><Relationship Type="http://schemas.openxmlformats.org/officeDocument/2006/relationships/footer" Target="/word/footer.xml" Id="R9bff20fe0a4b4d0d" /></Relationships>
</file>