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23a0093b1400f" /></Relationships>
</file>

<file path=word/document.xml><?xml version="1.0" encoding="utf-8"?>
<w:document xmlns:w="http://schemas.openxmlformats.org/wordprocessingml/2006/main">
  <w:body>
    <w:p>
      <w:r>
        <w:t>H-2331.2</w:t>
      </w:r>
    </w:p>
    <w:p>
      <w:pPr>
        <w:jc w:val="center"/>
      </w:pPr>
      <w:r>
        <w:t>_______________________________________________</w:t>
      </w:r>
    </w:p>
    <w:p/>
    <w:p>
      <w:pPr>
        <w:jc w:val="center"/>
      </w:pPr>
      <w:r>
        <w:rPr>
          <w:b/>
        </w:rPr>
        <w:t>HOUSE BILL 2151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Farrell, Young, Lovick, Reeves, Pellicciotti, Kloba, Frame, Springer, Stanford, Jinkins, Ryu, Pollet, Senn, Dolan, Robinson, Macri, and Santos</w:t>
      </w:r>
    </w:p>
    <w:p/>
    <w:p>
      <w:r>
        <w:rPr>
          <w:t xml:space="preserve">Read first time 03/10/17.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transit agency integration for regional mobility grants in counties with a population of seven hundred thousand or more; amending RCW 47.66.030;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In November 2016, the voters within the sound transit district approved a fifty-four billion dollar, taxpayer-funded light rail, heavy rail, and bus expansion in the Puget Sound region. However, it is also important that all of the central Puget Sound's transportation infrastructure be well planned and coordinated, including its transit systems. It is the intent of the legislature to reform the planning and coordination process for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2015 3rd sp.s. c 11 s 3 are each amended to read as follows:</w:t>
      </w:r>
    </w:p>
    <w:p>
      <w:pPr>
        <w:spacing w:before="0" w:after="0" w:line="408" w:lineRule="exact"/>
        <w:ind w:left="0" w:right="0" w:firstLine="576"/>
        <w:jc w:val="left"/>
      </w:pPr>
      <w:r>
        <w:rPr/>
        <w:t xml:space="preserve">(1)(a)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u w:val="single"/>
        </w:rPr>
        <w:t xml:space="preserve">(c)(i) Beginning in 2020, transit agencies located in counties with a population of seven hundred thousand or more that border Puget Sound must be able to demonstrate reasonable progress, as determined by the department, in integrating service with the regional transit authority located in the same county in order to be eligible for grants from the regional mobility grant program.</w:t>
      </w:r>
    </w:p>
    <w:p>
      <w:pPr>
        <w:spacing w:before="0" w:after="0" w:line="408" w:lineRule="exact"/>
        <w:ind w:left="0" w:right="0" w:firstLine="576"/>
        <w:jc w:val="left"/>
      </w:pPr>
      <w:r>
        <w:rPr>
          <w:u w:val="single"/>
        </w:rPr>
        <w:t xml:space="preserve">(ii)(A) For purposes of this subsection (1)(c), "reasonable progress" must be defined by rule by the department after consultation with the affected transit agencies, taking into consideration the criteria of (c)(ii)(B) of this subsection, and using 2017 as the year from which reasonable progress will be measured.</w:t>
      </w:r>
    </w:p>
    <w:p>
      <w:pPr>
        <w:spacing w:before="0" w:after="0" w:line="408" w:lineRule="exact"/>
        <w:ind w:left="0" w:right="0" w:firstLine="576"/>
        <w:jc w:val="left"/>
      </w:pPr>
      <w:r>
        <w:rPr>
          <w:u w:val="single"/>
        </w:rPr>
        <w:t xml:space="preserve">(B) For purposes of (c)(ii)(A) of this subsection, the department shall consider the following criteria:</w:t>
      </w:r>
    </w:p>
    <w:p>
      <w:pPr>
        <w:spacing w:before="0" w:after="0" w:line="408" w:lineRule="exact"/>
        <w:ind w:left="0" w:right="0" w:firstLine="576"/>
        <w:jc w:val="left"/>
      </w:pPr>
      <w:r>
        <w:rPr>
          <w:u w:val="single"/>
        </w:rPr>
        <w:t xml:space="preserve">(I) Integration of marketing efforts;</w:t>
      </w:r>
    </w:p>
    <w:p>
      <w:pPr>
        <w:spacing w:before="0" w:after="0" w:line="408" w:lineRule="exact"/>
        <w:ind w:left="0" w:right="0" w:firstLine="576"/>
        <w:jc w:val="left"/>
      </w:pPr>
      <w:r>
        <w:rPr>
          <w:u w:val="single"/>
        </w:rPr>
        <w:t xml:space="preserve">(II) Alignment of fare structures;</w:t>
      </w:r>
    </w:p>
    <w:p>
      <w:pPr>
        <w:spacing w:before="0" w:after="0" w:line="408" w:lineRule="exact"/>
        <w:ind w:left="0" w:right="0" w:firstLine="576"/>
        <w:jc w:val="left"/>
      </w:pPr>
      <w:r>
        <w:rPr>
          <w:u w:val="single"/>
        </w:rPr>
        <w:t xml:space="preserve">(III) Integration of service planning;</w:t>
      </w:r>
    </w:p>
    <w:p>
      <w:pPr>
        <w:spacing w:before="0" w:after="0" w:line="408" w:lineRule="exact"/>
        <w:ind w:left="0" w:right="0" w:firstLine="576"/>
        <w:jc w:val="left"/>
      </w:pPr>
      <w:r>
        <w:rPr>
          <w:u w:val="single"/>
        </w:rPr>
        <w:t xml:space="preserve">(IV) Coordination of long-range planning, including capital projects planning and implementation;</w:t>
      </w:r>
    </w:p>
    <w:p>
      <w:pPr>
        <w:spacing w:before="0" w:after="0" w:line="408" w:lineRule="exact"/>
        <w:ind w:left="0" w:right="0" w:firstLine="576"/>
        <w:jc w:val="left"/>
      </w:pPr>
      <w:r>
        <w:rPr>
          <w:u w:val="single"/>
        </w:rPr>
        <w:t xml:space="preserve">(V) Integration of other administrative functions and internal business processes as appropriate; and</w:t>
      </w:r>
    </w:p>
    <w:p>
      <w:pPr>
        <w:spacing w:before="0" w:after="0" w:line="408" w:lineRule="exact"/>
        <w:ind w:left="0" w:right="0" w:firstLine="576"/>
        <w:jc w:val="left"/>
      </w:pPr>
      <w:r>
        <w:rPr>
          <w:u w:val="single"/>
        </w:rPr>
        <w:t xml:space="preserve">(VI) Integration of customer-focused tools and initiatives.</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da49cb0f1e42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a84d0b32840bd" /><Relationship Type="http://schemas.openxmlformats.org/officeDocument/2006/relationships/footer" Target="/word/footer.xml" Id="R8dda49cb0f1e42e4" /></Relationships>
</file>