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9873223d74d99" /></Relationships>
</file>

<file path=word/document.xml><?xml version="1.0" encoding="utf-8"?>
<w:document xmlns:w="http://schemas.openxmlformats.org/wordprocessingml/2006/main">
  <w:body>
    <w:p>
      <w:r>
        <w:t>H-2827.1</w:t>
      </w:r>
    </w:p>
    <w:p>
      <w:pPr>
        <w:jc w:val="center"/>
      </w:pPr>
      <w:r>
        <w:t>_______________________________________________</w:t>
      </w:r>
    </w:p>
    <w:p/>
    <w:p>
      <w:pPr>
        <w:jc w:val="center"/>
      </w:pPr>
      <w:r>
        <w:rPr>
          <w:b/>
        </w:rPr>
        <w:t>HOUSE BILL 2227</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Sawyer and Condotta</w:t>
      </w:r>
    </w:p>
    <w:p/>
    <w:p>
      <w:r>
        <w:rPr>
          <w:t xml:space="preserve">Prefiled 06/21/17.</w:t>
        </w:rPr>
      </w:r>
      <w:r>
        <w:rPr>
          <w:t xml:space="preserve">Read first time 06/16/17.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laboratory testing of marijuana products; and amending RCW 69.50.348.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w:t>
      </w:r>
      <w:r>
        <w:rPr>
          <w:u w:val="single"/>
        </w:rPr>
        <w:t xml:space="preserve">(a)</w:t>
      </w:r>
      <w:r>
        <w:rPr/>
        <w:t xml:space="preserve">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t xml:space="preserve"> </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u w:val="single"/>
        </w:rPr>
        <w:t xml:space="preserve">(b) Beginning on January 1, 2019, the laboratory accreditation requirement established in (a) of this subsection must, at minimum, meet the standards for testing laboratories established by the international organization for standardization pursuant to the requirements set forth in ISO/IEC 17025:2005. Any entity approved by the state liquor and cannabis board for the certification or accreditation of a marijuana product testing laboratory under this section must utilize the pertinent standards established by the international organization for standardization in evaluating a testing laboratory under this section.</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
      <w:pPr>
        <w:jc w:val="center"/>
      </w:pPr>
      <w:r>
        <w:rPr>
          <w:b/>
        </w:rPr>
        <w:t>--- END ---</w:t>
      </w:r>
    </w:p>
    <w:sectPr>
      <w:pgNumType w:start="1"/>
      <w:footerReference xmlns:r="http://schemas.openxmlformats.org/officeDocument/2006/relationships" r:id="R1ff8ea2aeeef41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a98c34a394e92" /><Relationship Type="http://schemas.openxmlformats.org/officeDocument/2006/relationships/footer" Target="/word/footer.xml" Id="R1ff8ea2aeeef41f3" /></Relationships>
</file>