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857c5a2f94fbd" /></Relationships>
</file>

<file path=word/document.xml><?xml version="1.0" encoding="utf-8"?>
<w:document xmlns:w="http://schemas.openxmlformats.org/wordprocessingml/2006/main">
  <w:body>
    <w:p>
      <w:r>
        <w:t>H-2841.1</w:t>
      </w:r>
    </w:p>
    <w:p>
      <w:pPr>
        <w:jc w:val="center"/>
      </w:pPr>
      <w:r>
        <w:t>_______________________________________________</w:t>
      </w:r>
    </w:p>
    <w:p/>
    <w:p>
      <w:pPr>
        <w:jc w:val="center"/>
      </w:pPr>
      <w:r>
        <w:rPr>
          <w:b/>
        </w:rPr>
        <w:t>HOUSE BILL 2228</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J. Walsh, Schmick, Maycumber, Kraft, and Kretz</w:t>
      </w:r>
    </w:p>
    <w:p/>
    <w:p>
      <w:r>
        <w:rPr>
          <w:t xml:space="preserve">Prefiled 06/21/17.</w:t>
        </w:rPr>
      </w:r>
      <w:r>
        <w:rPr>
          <w:t xml:space="preserve">Read first time 06/21/17.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participation in the Washington individual health insurance market in certain counties; amending RCW 43.71.065; adding a new section to chapter 48.43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establishment of Washington's health benefit exchange was intended to increase the availability of health care coverage through the private health insurance market and improve consumer choice;</w:t>
      </w:r>
    </w:p>
    <w:p>
      <w:pPr>
        <w:spacing w:before="0" w:after="0" w:line="408" w:lineRule="exact"/>
        <w:ind w:left="0" w:right="0" w:firstLine="576"/>
        <w:jc w:val="left"/>
      </w:pPr>
      <w:r>
        <w:rPr/>
        <w:t xml:space="preserve">(b) Increasing premiums and decreasing carrier participation in the health insurance marketplace have left multiple counties with no insurance carrier either on or off the health benefit exchange, leaving thousands of Washingtonians with no access to health insurance; and</w:t>
      </w:r>
    </w:p>
    <w:p>
      <w:pPr>
        <w:spacing w:before="0" w:after="0" w:line="408" w:lineRule="exact"/>
        <w:ind w:left="0" w:right="0" w:firstLine="576"/>
        <w:jc w:val="left"/>
      </w:pPr>
      <w:r>
        <w:rPr/>
        <w:t xml:space="preserve">(c) The state has imposed excess health insurance mandates upon carriers that provide a disincentive to offer plans in certain regions.</w:t>
      </w:r>
    </w:p>
    <w:p>
      <w:pPr>
        <w:spacing w:before="0" w:after="0" w:line="408" w:lineRule="exact"/>
        <w:ind w:left="0" w:right="0" w:firstLine="576"/>
        <w:jc w:val="left"/>
      </w:pPr>
      <w:r>
        <w:rPr/>
        <w:t xml:space="preserve">(2) The legislature therefore intends to reduce state health insurance mandates in counties with one or fewer health plans offered in the individual market in order to incentivize insurers to reenter the marketplace and revitalize competition and consumer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with filings for the 2018 plan year, if the commissioner has received one or fewer filings for individual market health plans to be offered in a particular county by the standard filing deadline, the commissioner must extend the filing deadline by at least sixty days for plans to be offered in that county.</w:t>
      </w:r>
    </w:p>
    <w:p>
      <w:pPr>
        <w:spacing w:before="0" w:after="0" w:line="408" w:lineRule="exact"/>
        <w:ind w:left="0" w:right="0" w:firstLine="576"/>
        <w:jc w:val="left"/>
      </w:pPr>
      <w:r>
        <w:rPr/>
        <w:t xml:space="preserve">(2) The commissioner shall approve filings received during the extension period for plans to be offered in a county identified in subsection (1) of this section if the filings meet the minimum standards required by federal law with respect to mandated health benefits and provider networks. Health plans approved under this subsection are exempt from RCW 48.43.700 and any state requirements related to mandated health benefits and provider networks in excess of federal requirements. The commissioner shall continue to approve filings under this subsection for subsequent plan years until he or she receives filings for at least three individual market health plans to be offered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r>
        <w:rPr>
          <w:u w:val="single"/>
        </w:rPr>
        <w:t xml:space="preserve">, except as provided in section 2 of this act</w:t>
      </w:r>
      <w:r>
        <w:rPr/>
        <w:t xml:space="preserve">;</w:t>
      </w:r>
    </w:p>
    <w:p>
      <w:pPr>
        <w:spacing w:before="0" w:after="0" w:line="408" w:lineRule="exact"/>
        <w:ind w:left="0" w:right="0" w:firstLine="576"/>
        <w:jc w:val="left"/>
      </w:pPr>
      <w:r>
        <w:rPr/>
        <w:t xml:space="preserve">(b) Board to meet the requirements of the affordable care act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section 1311 of P.L. 111-148 of 2010, as amended,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section 1301 of P.L. 111-148 of 2010, as amended, to be offered in the exchange beginning January 1, 2014.</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patient choice restoration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19826e86074d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b0841aab3429d" /><Relationship Type="http://schemas.openxmlformats.org/officeDocument/2006/relationships/footer" Target="/word/footer.xml" Id="Rb619826e86074dd9" /></Relationships>
</file>