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f5f9c56bc4c98" /></Relationships>
</file>

<file path=word/document.xml><?xml version="1.0" encoding="utf-8"?>
<w:document xmlns:w="http://schemas.openxmlformats.org/wordprocessingml/2006/main">
  <w:body>
    <w:p>
      <w:r>
        <w:t>H-4224.1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2229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 Macri)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applicability of dental practice laws to integrated care delivery systems; and amending RCW 18.32.675.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675</w:t>
      </w:r>
      <w:r>
        <w:rPr/>
        <w:t xml:space="preserve"> and 2017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corporation shall practice dentistry or shall solicit through itself, or its agent, officers, employees, directors or trustees, dental patronage for any dentists or dental surgeon employed by any corporation: PROVIDED, That nothing contained in this chapter shall prohibit a corporation from employing a dentist or dentists to render dental services to its employees: PROVIDED, FURTHER, That such dental services shall be rendered at no cost or charge to the employees; nor shall it apply to corporations or associations in which the dental services were originated and are being conducted upon a purely charitable basis for the worthy poor.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chapter precludes a person or entity not licensed by the commission from: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Ownership or leasehold of any assets used by a dental practice, including real property, furnishings, equipment, instruments, materials, supplies, and inventory, excluding dental records of patients;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Employing or contracting for the services of personnel other than licensed dentists, licensed dental hygienists, licensed expanded function dental auxiliaries, certified dental anesthesia assistants, and registered dental assistants;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Providing business support and management services to a dental practice, including as a sole provider of such services;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Receiving fees for the services in (a) through (c) of this subsection provided to a dental practice calculated as agreed to by the dental practice owner or owners.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This section does not apply to arrangements for care delivery between a health service contractor that is licensed under chapter 48.44 RCW and is organized as a nonprofit integrated care delivery system and a health care provider, if all of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arrangement between the parties meets the personal services and management contracts safe harbor requirements as provided by 42 C.F.R. 1001.952(d);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arrangement between the parties meets either of the following safe harbors: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The managed care organization safe harbor requirements as provided by 42 C.F.R. 1001.952(t);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space rental safe harbor requirements as provided by 42 C.F.R. 1001.952(b) and the equipment rental safe harbor requirements as provided by 42 C.F.R. 1001.952(c).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Any corporation violating this section is guilty of a gross misdemeanor, and each day that this chapter is violated shall be considered a separate offense.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cb6f400a1e144e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2229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472dcbd9c475c" /><Relationship Type="http://schemas.openxmlformats.org/officeDocument/2006/relationships/footer" Target="/word/footer.xml" Id="R9cb6f400a1e144e4" /></Relationships>
</file>