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51dd325164cdb" /></Relationships>
</file>

<file path=word/document.xml><?xml version="1.0" encoding="utf-8"?>
<w:document xmlns:w="http://schemas.openxmlformats.org/wordprocessingml/2006/main">
  <w:body>
    <w:p>
      <w:r>
        <w:t>H-2918.4</w:t>
      </w:r>
    </w:p>
    <w:p>
      <w:pPr>
        <w:jc w:val="center"/>
      </w:pPr>
      <w:r>
        <w:t>_______________________________________________</w:t>
      </w:r>
    </w:p>
    <w:p/>
    <w:p>
      <w:pPr>
        <w:jc w:val="center"/>
      </w:pPr>
      <w:r>
        <w:rPr>
          <w:b/>
        </w:rPr>
        <w:t>HOUSE BILL 2240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for state-funded capital budget activities by making 2015-2017 appropriations for supplemental capital projects, 2017-2019 appropriations for previously authorized capital projects, and 2017-2019 appropriations for oversight and review of projects and facilities; amending RCW 70.340.130 and 28B.10.027; amending 2015 3rd sp.s. c 3 ss 1002, 1026, 1028, 6005, 3118, 3101, 3198, 3200, 3202, 3204, 3197, 3188, 3187, and 5034 (uncodified); amending 2016 sp.s. c 35 ss 1008, 1015, 1016, 2011, 3018, and 5004 (uncodified); reenacting and amending RCW 43.19.501; adding new sections to 2015 3rd sp.s. c 3 (uncodified);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1048</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1022,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This facility must house a kitchen, commissary, medical supply, and pharmacy operations to improve operational efficiency at western state hospital and at the special commitment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 in this section are subject to the following conditions and limitations: The reappropriations are subject to the provisions of section 3026,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$72,988,000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$228,879,000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$252,269,000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$14,500,000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$2,000,000 of the state building construction account</w:t>
      </w:r>
      <w:r>
        <w:rPr>
          <w:rFonts w:ascii="Times New Roman" w:hAnsi="Times New Roman"/>
          <w:u w:val="single"/>
        </w:rPr>
        <w:t xml:space="preserve">—</w:t>
      </w:r>
      <w:r>
        <w:rPr>
          <w:u w:val="single"/>
        </w:rPr>
        <w:t xml:space="preserve">state appropriation is provided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$14,600,000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$23,400,000</w:t>
      </w:r>
      <w:r>
        <w:t>))</w:t>
      </w:r>
    </w:p>
    <w:p>
      <w:pPr>
        <w:spacing w:before="0" w:after="0" w:line="408" w:lineRule="exact"/>
        <w:ind w:left="0" w:right="0" w:firstLine="0"/>
        <w:jc w:val="left"/>
        <w:tabs>
          <w:tab w:val="right" w:leader="none" w:pos="9936"/>
        </w:tabs>
      </w:pPr>
      <w:r>
        <w:tab/>
      </w:r>
      <w:r>
        <w:rPr>
          <w:u w:val="single"/>
        </w:rPr>
        <w:t xml:space="preserve">$25,800,000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0"/>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0"/>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tabs>
          <w:tab w:val="right" w:leader="none" w:pos="9936"/>
        </w:tabs>
        <w:ind w:left="0" w:right="0" w:firstLine="1440"/>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$293,513,000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$256,873,000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5034</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$50,200,000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prior authorized general obligation bond proceeds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used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30d699f9204f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a2ecd0a1c4d2f" /><Relationship Type="http://schemas.openxmlformats.org/officeDocument/2006/relationships/footer" Target="/word/footer.xml" Id="Rbb30d699f9204f21" /></Relationships>
</file>