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9dfd437ed4ab2" /></Relationships>
</file>

<file path=word/document.xml><?xml version="1.0" encoding="utf-8"?>
<w:document xmlns:w="http://schemas.openxmlformats.org/wordprocessingml/2006/main">
  <w:body>
    <w:p>
      <w:r>
        <w:t>H-3214.2</w:t>
      </w:r>
    </w:p>
    <w:p>
      <w:pPr>
        <w:jc w:val="center"/>
      </w:pPr>
      <w:r>
        <w:t>_______________________________________________</w:t>
      </w:r>
    </w:p>
    <w:p/>
    <w:p>
      <w:pPr>
        <w:jc w:val="center"/>
      </w:pPr>
      <w:r>
        <w:rPr>
          <w:b/>
        </w:rPr>
        <w:t>HOUSE BILL 2276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Haler, and Young</w:t>
      </w:r>
    </w:p>
    <w:p/>
    <w:p>
      <w:r>
        <w:rPr>
          <w:t xml:space="preserve">Prefiled 12/13/17.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wildlife transfer, relocation, or introduction into a new location;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transferring, relocating, or introducing any wildlife into a different location in the state.</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web site of the community or local government near where the wildlife will be transferred,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likely to be impacted by the presence of the transferred, relocated, or introduced wildlife. A member of the public may not be required to register his or her name or other information as a condition to his or her attendance at the public hearing. The presiding official or department personnel must present an oral and visual presentation, to the extent practicable, explaining the department's proposed actions and related management of the wildlife in sufficient detail to provide a reasonable understanding of the reasons for and potential impacts of the action and presence of the wildlife in or near the community. The hearing must be conducted by the presiding official to afford interested persons the opportunity to present comment individually in the presence and hearing of other attendees. Written or electronic submissions may be accepted and included in the agency's hearing record.</w:t>
      </w:r>
    </w:p>
    <w:p>
      <w:pPr>
        <w:spacing w:before="0" w:after="0" w:line="408" w:lineRule="exact"/>
        <w:ind w:left="0" w:right="0" w:firstLine="576"/>
        <w:jc w:val="left"/>
      </w:pPr>
      <w:r>
        <w:rPr/>
        <w:t xml:space="preserve">(4) The requirements of this section do not apply: To activities occurring at existing hatcheries; for purposes of the relocation of beavers; or for removal of an animal from urban or residential areas to habitat areas that contain the same species of animal.</w:t>
      </w:r>
    </w:p>
    <w:p/>
    <w:p>
      <w:pPr>
        <w:jc w:val="center"/>
      </w:pPr>
      <w:r>
        <w:rPr>
          <w:b/>
        </w:rPr>
        <w:t>--- END ---</w:t>
      </w:r>
    </w:p>
    <w:sectPr>
      <w:pgNumType w:start="1"/>
      <w:footerReference xmlns:r="http://schemas.openxmlformats.org/officeDocument/2006/relationships" r:id="Rf748760b55404f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55dbaa3464336" /><Relationship Type="http://schemas.openxmlformats.org/officeDocument/2006/relationships/footer" Target="/word/footer.xml" Id="Rf748760b55404f16" /></Relationships>
</file>