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a5d04f08046a4" /></Relationships>
</file>

<file path=word/document.xml><?xml version="1.0" encoding="utf-8"?>
<w:document xmlns:w="http://schemas.openxmlformats.org/wordprocessingml/2006/main">
  <w:body>
    <w:p>
      <w:r>
        <w:t>H-3275.1</w:t>
      </w:r>
    </w:p>
    <w:p>
      <w:pPr>
        <w:jc w:val="center"/>
      </w:pPr>
      <w:r>
        <w:t>_______________________________________________</w:t>
      </w:r>
    </w:p>
    <w:p/>
    <w:p>
      <w:pPr>
        <w:jc w:val="center"/>
      </w:pPr>
      <w:r>
        <w:rPr>
          <w:b/>
        </w:rPr>
        <w:t>HOUSE BILL 2282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Cody, Goodman, Pettigrew, Tarleton, Fey, DeBolt, Bergquist, Springer, Santos, McBride, Smith, Chapman, Slatter, Peterson, Wylie, Fitzgibbon, Morris, Stonier, Lytton, Sawyer, Robinson, Tharinger, Kagi, Pellicciotti, Dolan, Orwall, Valdez, Haler, Kilduff, Senn, Frame, Sells, Kirby, Stanford, Blake, Reeves, Clibborn, Macri, Kloba, Appleton, Stambaugh, Jinkins, Ormsby, Ryu, Hayes, Pollet, Doglio, Ortiz-Self, Riccelli, and McDonald</w:t>
      </w:r>
    </w:p>
    <w:p/>
    <w:p>
      <w:r>
        <w:rPr>
          <w:t xml:space="preserve">Prefiled 12/13/17.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 open internet in Washington state;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engaged in the provision of broadband internet access service in Washington state shall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p>
    <w:p>
      <w:pPr>
        <w:spacing w:before="0" w:after="0" w:line="408" w:lineRule="exact"/>
        <w:ind w:left="0" w:right="0" w:firstLine="576"/>
        <w:jc w:val="left"/>
      </w:pPr>
      <w:r>
        <w:rPr/>
        <w:t xml:space="preserve">(2) A person engaged in the provision of broadband internet access service in Washington state, insofar as such a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(d)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w:t>
      </w:r>
    </w:p>
    <w:p>
      <w:pPr>
        <w:spacing w:before="0" w:after="0" w:line="408" w:lineRule="exact"/>
        <w:ind w:left="0" w:right="0" w:firstLine="576"/>
        <w:jc w:val="left"/>
      </w:pPr>
      <w:r>
        <w:rPr/>
        <w:t xml:space="preserve">(3) The utilities and transportation commission may waive the prohibition on paid prioritization in subsection (1)(c) of this section only if the petitioner demonstrates that the practice would provide some significant public interest benefit and would not harm the open nature of the internet in Washington 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The term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(c) "End user" means any individual or entity that uses a broadband internet access service.</w:t>
      </w:r>
    </w:p>
    <w:p>
      <w:pPr>
        <w:spacing w:before="0" w:after="0" w:line="408" w:lineRule="exact"/>
        <w:ind w:left="0" w:right="0" w:firstLine="576"/>
        <w:jc w:val="left"/>
      </w:pPr>
      <w:r>
        <w:rPr/>
        <w:t xml:space="preserve">(d) "Mobile broadband internet access service" means a broadband internet service that serves end users primarily using mobile stations.</w:t>
      </w:r>
    </w:p>
    <w:p>
      <w:pPr>
        <w:spacing w:before="0" w:after="0" w:line="408" w:lineRule="exact"/>
        <w:ind w:left="0" w:right="0" w:firstLine="576"/>
        <w:jc w:val="left"/>
      </w:pPr>
      <w:r>
        <w:rPr/>
        <w:t xml:space="preserve">(e)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(i) In exchange for consideration, monetary or otherwise, from a third party; or</w:t>
      </w:r>
    </w:p>
    <w:p>
      <w:pPr>
        <w:spacing w:before="0" w:after="0" w:line="408" w:lineRule="exact"/>
        <w:ind w:left="0" w:right="0" w:firstLine="576"/>
        <w:jc w:val="left"/>
      </w:pPr>
      <w:r>
        <w:rPr/>
        <w:t xml:space="preserve">(ii) To benefit an affiliated entity.</w:t>
      </w:r>
    </w:p>
    <w:p>
      <w:pPr>
        <w:spacing w:before="0" w:after="0" w:line="408" w:lineRule="exact"/>
        <w:ind w:left="0" w:right="0" w:firstLine="576"/>
        <w:jc w:val="left"/>
      </w:pPr>
      <w:r>
        <w:rPr/>
        <w:t xml:space="preserve">(f)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f439e00b9b742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7c63872064101" /><Relationship Type="http://schemas.openxmlformats.org/officeDocument/2006/relationships/footer" Target="/word/footer.xml" Id="R0f439e00b9b742d2" /></Relationships>
</file>