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992512f58c477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2309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Kirby and Vick</w:t>
      </w:r>
    </w:p>
    <w:p/>
    <w:p>
      <w:r>
        <w:rPr>
          <w:t xml:space="preserve">Prefiled 12/20/17.</w:t>
        </w:rPr>
      </w:r>
      <w:r>
        <w:rPr>
          <w:t xml:space="preserve">Read first time 01/08/18.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contract providers; amending RCW 48.110.017, 48.110.030, 48.110.055, 48.110.130, and 48.110.902; and adding a new section to chapter 48.110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017</w:t>
      </w:r>
      <w:r>
        <w:rPr/>
        <w:t xml:space="preserve"> and 2013 c 117 s 2 are each amended to read as follows:</w:t>
      </w:r>
    </w:p>
    <w:p>
      <w:pPr>
        <w:spacing w:before="0" w:after="0" w:line="408" w:lineRule="exact"/>
        <w:ind w:left="0" w:right="0" w:firstLine="576"/>
        <w:jc w:val="left"/>
      </w:pPr>
      <w:r>
        <w:rPr/>
        <w:t xml:space="preserve">This chapter does not prohibit a service contract provider from covering, in whole or in part, residential water, sewer, </w:t>
      </w:r>
      <w:r>
        <w:rPr>
          <w:u w:val="single"/>
        </w:rPr>
        <w:t xml:space="preserve">plumbing, electrical, heating and cooling systems,</w:t>
      </w:r>
      <w:r>
        <w:rPr/>
        <w:t xml:space="preserve"> utilities, or similar systems</w:t>
      </w:r>
      <w:r>
        <w:rPr>
          <w:u w:val="single"/>
        </w:rPr>
        <w:t xml:space="preserve">, including items intended to be attached to or installed in any real property,</w:t>
      </w:r>
      <w:r>
        <w:rPr/>
        <w:t xml:space="preserve"> with or without coverage of appliances</w:t>
      </w:r>
      <w:r>
        <w:rPr>
          <w:u w:val="single"/>
        </w:rPr>
        <w:t xml:space="preserve">,</w:t>
      </w:r>
      <w:r>
        <w:rPr/>
        <w:t xml:space="preserve"> or from sharing contract revenue with local governments or other third parties for endorsements and marketing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030</w:t>
      </w:r>
      <w:r>
        <w:rPr/>
        <w:t xml:space="preserve"> and 2016 c 224 s 1 are each amended to read as follows:</w:t>
      </w:r>
    </w:p>
    <w:p>
      <w:pPr>
        <w:spacing w:before="0" w:after="0" w:line="408" w:lineRule="exact"/>
        <w:ind w:left="0" w:right="0" w:firstLine="576"/>
        <w:jc w:val="left"/>
      </w:pPr>
      <w:r>
        <w:rPr/>
        <w:t xml:space="preserve">(1) A person may not act as, or offer to act as, or hold himself or herself out to be a service contract provider in this state, nor may a service contract be sold to a consumer in this state, unless the service contract provider has a valid registration as a service contract provider issued by the commissioner.</w:t>
      </w:r>
    </w:p>
    <w:p>
      <w:pPr>
        <w:spacing w:before="0" w:after="0" w:line="408" w:lineRule="exact"/>
        <w:ind w:left="0" w:right="0" w:firstLine="576"/>
        <w:jc w:val="left"/>
      </w:pPr>
      <w:r>
        <w:rPr/>
        <w:t xml:space="preserve">(2) Applicants to be a service contract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All basic organizational documents of the service contract provider, including any articles of incorporation, articles of association, partnership agreement, trade name certificate, trust agreement, shareholder agreement, bylaws, and other applicable documents, and all amendments to those documents;</w:t>
      </w:r>
    </w:p>
    <w:p>
      <w:pPr>
        <w:spacing w:before="0" w:after="0" w:line="408" w:lineRule="exact"/>
        <w:ind w:left="0" w:right="0" w:firstLine="576"/>
        <w:jc w:val="left"/>
      </w:pPr>
      <w:r>
        <w:rPr/>
        <w:t xml:space="preserve">(b) The identities of the service contract provider's executive officer or officers directly responsible for the service contract provider's service contract business, and, if more than fifty percent of the service contract provider's gross revenue is derived from the sale of service contracts, the identities of the service contract provider's directors and stockholders having beneficial ownership of ten percent or more of any class of securities;</w:t>
      </w:r>
    </w:p>
    <w:p>
      <w:pPr>
        <w:spacing w:before="0" w:after="0" w:line="408" w:lineRule="exact"/>
        <w:ind w:left="0" w:right="0" w:firstLine="576"/>
        <w:jc w:val="left"/>
      </w:pPr>
      <w:r>
        <w:rPr/>
        <w:t xml:space="preserve">(c)(i) For service contract providers relying on RCW 48.110.050(2) (a) or (b) or 48.110.075(2)(a) to assure the faithful performance of its obligations to service contract holders, the most recent audited annual financial statements, if available, or the most recent audited financial statements which prove that the applicant </w:t>
      </w:r>
      <w:r>
        <w:t>((</w:t>
      </w:r>
      <w:r>
        <w:rPr>
          <w:strike/>
        </w:rPr>
        <w:t xml:space="preserve">is solvent</w:t>
      </w:r>
      <w:r>
        <w:t>))</w:t>
      </w:r>
      <w:r>
        <w:rPr/>
        <w:t xml:space="preserve"> </w:t>
      </w:r>
      <w:r>
        <w:rPr>
          <w:u w:val="single"/>
        </w:rPr>
        <w:t xml:space="preserve">has and maintains a minimum net worth or stockholder's equity of two hundred thousand dollars or more calculated in accordance with section 6 of this act and the ability to pay its debts when debts become due</w:t>
      </w:r>
      <w:r>
        <w:rPr/>
        <w:t xml:space="preserve">. In lieu of submitting audited financial statements, a service contract provider relying on RCW 48.110.050(2)(a) or 48.110.075(2)(a) to assure the faithful performance of its obligations to service contract holders may comply with the requirements of this subsection (2)(c)(i) by submitting the most recent annual financial statements, if available, or the most recent financial statements of the applicant that are certified as accurate by two or more officers of the applicant; or</w:t>
      </w:r>
    </w:p>
    <w:p>
      <w:pPr>
        <w:spacing w:before="0" w:after="0" w:line="408" w:lineRule="exact"/>
        <w:ind w:left="0" w:right="0" w:firstLine="576"/>
        <w:jc w:val="left"/>
      </w:pPr>
      <w:r>
        <w:rPr/>
        <w:t xml:space="preserve">(ii) For service contract providers relying on RCW 48.110.050(2)(c) to assure the faithful performance of its obligations to service contract holders, the most recent audited annual financial statements, if available, or the most recent audited financial statements or form 10-K or form 20-F filed with the securities and exchange commission which prove that the applicant has and maintains a net worth or stockholder's equity of one hundred million dollars or more. However, if the service contract provider is relying on its parent company's net worth or stockholder's equity to meet the requirements of RCW 48.110.050(2)(c) and the service contract provider has provided the commissioner with a written guarantee by the parent company in accordance with RCW 48.110.050(2)(c), then the most recent audited annual financial statements, if available, or the most recent audited financial statements or form 10-K or form 20-F filed with the securities and exchange commission of the service contract provider's parent company must be filed and the applicant need not submit its own financial statements or demonstrate a minimum net worth or stockholder's equity; and</w:t>
      </w:r>
    </w:p>
    <w:p>
      <w:pPr>
        <w:spacing w:before="0" w:after="0" w:line="408" w:lineRule="exact"/>
        <w:ind w:left="0" w:right="0" w:firstLine="576"/>
        <w:jc w:val="left"/>
      </w:pPr>
      <w:r>
        <w:rPr/>
        <w:t xml:space="preserve">(d) An application fee of two hundred fifty dollars, which must be deposited into the general fund.</w:t>
      </w:r>
    </w:p>
    <w:p>
      <w:pPr>
        <w:spacing w:before="0" w:after="0" w:line="408" w:lineRule="exact"/>
        <w:ind w:left="0" w:right="0" w:firstLine="576"/>
        <w:jc w:val="left"/>
      </w:pPr>
      <w:r>
        <w:rPr/>
        <w:t xml:space="preserve">(3) Each registered service contract provider must appoint the commissioner as the service contract provider's attorney to receive service of legal process issued against the service contract provider in this state upon causes of action arising within this state. Service upon the commissioner as attorney constitutes effective legal service upon the service contract provider.</w:t>
      </w:r>
    </w:p>
    <w:p>
      <w:pPr>
        <w:spacing w:before="0" w:after="0" w:line="408" w:lineRule="exact"/>
        <w:ind w:left="0" w:right="0" w:firstLine="576"/>
        <w:jc w:val="left"/>
      </w:pPr>
      <w:r>
        <w:rPr/>
        <w:t xml:space="preserve">(a) With the appointment the service contract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service contract provider, and remains in effect for as long as there could be any cause of action against the service contract provider arising out of any of the service contract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(4) The commissioner may refuse to issue a registration if the commissioner determines that the service contract provider, or any individual responsible for the conduct of the affairs of the service contract provider under subsection (2)(b) of this section, is not competent, trustworthy, </w:t>
      </w:r>
      <w:r>
        <w:t>((</w:t>
      </w:r>
      <w:r>
        <w:rPr>
          <w:strike/>
        </w:rPr>
        <w:t xml:space="preserve">financially responsible</w:t>
      </w:r>
      <w:r>
        <w:t>))</w:t>
      </w:r>
      <w:r>
        <w:rPr/>
        <w:t xml:space="preserve"> </w:t>
      </w:r>
      <w:r>
        <w:rPr>
          <w:u w:val="single"/>
        </w:rPr>
        <w:t xml:space="preserve">cannot demonstrate a minimum net worth or stockholder's equity and the ability to pay its debts when debts become due in accordance with the applicable requirements of subsection (2)(c) of this section</w:t>
      </w:r>
      <w:r>
        <w:rPr/>
        <w:t xml:space="preserve">, or has had a license as a service contract provider or similar license denied or revoked for cause by any state.</w:t>
      </w:r>
    </w:p>
    <w:p>
      <w:pPr>
        <w:spacing w:before="0" w:after="0" w:line="408" w:lineRule="exact"/>
        <w:ind w:left="0" w:right="0" w:firstLine="576"/>
        <w:jc w:val="left"/>
      </w:pPr>
      <w:r>
        <w:rPr/>
        <w:t xml:space="preserve">(5) A registration issued under this section is valid, unless surrendered, suspended, or revoked by the commissioner, or not renewed for so long as the service contract provider continues in business in this state and remains in compliance with this chapter. A registration is subject to renewal annually on the first day of July upon application of the service contract provider and payment of a fee of two hundred dollars, which must be deposited into the general fund. If not so renewed, the registration expires on the June 30th next preceding.</w:t>
      </w:r>
    </w:p>
    <w:p>
      <w:pPr>
        <w:spacing w:before="0" w:after="0" w:line="408" w:lineRule="exact"/>
        <w:ind w:left="0" w:right="0" w:firstLine="576"/>
        <w:jc w:val="left"/>
      </w:pPr>
      <w:r>
        <w:rPr/>
        <w:t xml:space="preserve">(6) A service contract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2016 c 224 s 4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The most recent annual financial statements, if available, or the most recent financial statements certified as accurate by two or more officers of the applicant which prove that the applicant </w:t>
      </w:r>
      <w:r>
        <w:t>((</w:t>
      </w:r>
      <w:r>
        <w:rPr>
          <w:strike/>
        </w:rPr>
        <w:t xml:space="preserve">is solvent</w:t>
      </w:r>
      <w:r>
        <w:t>))</w:t>
      </w:r>
      <w:r>
        <w:rPr/>
        <w:t xml:space="preserve"> </w:t>
      </w:r>
      <w:r>
        <w:rPr>
          <w:u w:val="single"/>
        </w:rPr>
        <w:t xml:space="preserve">has and maintains a minimum net worth or stockholder's equity of two hundred thousand dollars or more calculated in accordance with section 6 of this act and the ability to pay its debts when debts become due</w:t>
      </w:r>
      <w:r>
        <w:rPr/>
        <w:t xml:space="preserve">;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 trustworthy, </w:t>
      </w:r>
      <w:r>
        <w:t>((</w:t>
      </w:r>
      <w:r>
        <w:rPr>
          <w:strike/>
        </w:rPr>
        <w:t xml:space="preserve">financially responsible</w:t>
      </w:r>
      <w:r>
        <w:t>))</w:t>
      </w:r>
      <w:r>
        <w:rPr/>
        <w:t xml:space="preserve"> </w:t>
      </w:r>
      <w:r>
        <w:rPr>
          <w:u w:val="single"/>
        </w:rPr>
        <w:t xml:space="preserve">cannot demonstrate a minimum net worth or stockholder's equity in accordance with the applicable requirements of subsection (3)(e) of this section and the ability to pay its debts when debts become due</w:t>
      </w:r>
      <w:r>
        <w:rPr/>
        <w:t xml:space="preserve">, or has had a license as a protection product guarantee provider or similar license denied or revoked for cause by any state.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130</w:t>
      </w:r>
      <w:r>
        <w:rPr/>
        <w:t xml:space="preserve"> and 2006 c 274 s 14 are each amended to read as follows:</w:t>
      </w:r>
    </w:p>
    <w:p>
      <w:pPr>
        <w:spacing w:before="0" w:after="0" w:line="408" w:lineRule="exact"/>
        <w:ind w:left="0" w:right="0" w:firstLine="576"/>
        <w:jc w:val="left"/>
      </w:pPr>
      <w:r>
        <w:rPr/>
        <w:t xml:space="preserve">(1) The commissioner may, subject to chapter 48.04 RCW, deny, suspend, or revoke the registration of a service contract provider or protection product guarantee provider if the commissioner finds that the service contract provider or protection product guarantee provider:</w:t>
      </w:r>
    </w:p>
    <w:p>
      <w:pPr>
        <w:spacing w:before="0" w:after="0" w:line="408" w:lineRule="exact"/>
        <w:ind w:left="0" w:right="0" w:firstLine="576"/>
        <w:jc w:val="left"/>
      </w:pPr>
      <w:r>
        <w:rPr/>
        <w:t xml:space="preserve">(a) Has violated this chapter or the commissioner's rules and orders;</w:t>
      </w:r>
    </w:p>
    <w:p>
      <w:pPr>
        <w:spacing w:before="0" w:after="0" w:line="408" w:lineRule="exact"/>
        <w:ind w:left="0" w:right="0" w:firstLine="576"/>
        <w:jc w:val="left"/>
      </w:pPr>
      <w:r>
        <w:rPr/>
        <w:t xml:space="preserve">(b) Has refused to be investigated or to produce its accounts, records, and files for investigation, or if any of its officers have refused to give information with respect to its affairs or refused to perform any other legal obligation as to an investigation, when required by the commissioner;</w:t>
      </w:r>
    </w:p>
    <w:p>
      <w:pPr>
        <w:spacing w:before="0" w:after="0" w:line="408" w:lineRule="exact"/>
        <w:ind w:left="0" w:right="0" w:firstLine="576"/>
        <w:jc w:val="left"/>
      </w:pPr>
      <w:r>
        <w:rPr/>
        <w:t xml:space="preserve">(c) Has, without just cause, refused to pay proper claims or perform services arising under its contracts or has, without just cause, caused service contract holders or protection product guarantee holders to accept less than the amount due them or caused service contract holders or protection product guarantee holders to employ attorneys or bring suit against the service contract provider or protection product guarantee provider to secure full payment or settlement of claims;</w:t>
      </w:r>
    </w:p>
    <w:p>
      <w:pPr>
        <w:spacing w:before="0" w:after="0" w:line="408" w:lineRule="exact"/>
        <w:ind w:left="0" w:right="0" w:firstLine="576"/>
        <w:jc w:val="left"/>
      </w:pPr>
      <w:r>
        <w:rPr/>
        <w:t xml:space="preserve">(d) Is affiliated with or under the same general management or interlocking directorate or ownership as another service contract provider or protection product guarantee provider which unlawfully transacts business in this state without having a registration;</w:t>
      </w:r>
    </w:p>
    <w:p>
      <w:pPr>
        <w:spacing w:before="0" w:after="0" w:line="408" w:lineRule="exact"/>
        <w:ind w:left="0" w:right="0" w:firstLine="576"/>
        <w:jc w:val="left"/>
      </w:pPr>
      <w:r>
        <w:rPr/>
        <w:t xml:space="preserve">(e) At any time fails to meet any qualification for which issuance of the registration could have been refused had such failure then existed and been known to the commissioner;</w:t>
      </w:r>
    </w:p>
    <w:p>
      <w:pPr>
        <w:spacing w:before="0" w:after="0" w:line="408" w:lineRule="exact"/>
        <w:ind w:left="0" w:right="0" w:firstLine="576"/>
        <w:jc w:val="left"/>
      </w:pPr>
      <w:r>
        <w:rPr/>
        <w:t xml:space="preserve">(f) Has been convicted of, or has entered a plea of guilty or nolo contendere to, a felony;</w:t>
      </w:r>
    </w:p>
    <w:p>
      <w:pPr>
        <w:spacing w:before="0" w:after="0" w:line="408" w:lineRule="exact"/>
        <w:ind w:left="0" w:right="0" w:firstLine="576"/>
        <w:jc w:val="left"/>
      </w:pPr>
      <w:r>
        <w:rPr/>
        <w:t xml:space="preserve">(g) Is under suspension or revocation in another state with respect to its service contract business or protection product business;</w:t>
      </w:r>
    </w:p>
    <w:p>
      <w:pPr>
        <w:spacing w:before="0" w:after="0" w:line="408" w:lineRule="exact"/>
        <w:ind w:left="0" w:right="0" w:firstLine="576"/>
        <w:jc w:val="left"/>
      </w:pPr>
      <w:r>
        <w:rPr/>
        <w:t xml:space="preserve">(h) Has made a material misstatement in its application for registration;</w:t>
      </w:r>
    </w:p>
    <w:p>
      <w:pPr>
        <w:spacing w:before="0" w:after="0" w:line="408" w:lineRule="exact"/>
        <w:ind w:left="0" w:right="0" w:firstLine="576"/>
        <w:jc w:val="left"/>
      </w:pPr>
      <w:r>
        <w:rPr/>
        <w:t xml:space="preserve">(i) Has obtained or attempted to obtain a registration through misrepresentation or fraud;</w:t>
      </w:r>
    </w:p>
    <w:p>
      <w:pPr>
        <w:spacing w:before="0" w:after="0" w:line="408" w:lineRule="exact"/>
        <w:ind w:left="0" w:right="0" w:firstLine="576"/>
        <w:jc w:val="left"/>
      </w:pPr>
      <w:r>
        <w:rPr/>
        <w:t xml:space="preserve">(j) Has, in the transaction of business under its registration, used fraudulent, coercive, or dishonest practices; </w:t>
      </w:r>
    </w:p>
    <w:p>
      <w:pPr>
        <w:spacing w:before="0" w:after="0" w:line="408" w:lineRule="exact"/>
        <w:ind w:left="0" w:right="0" w:firstLine="576"/>
        <w:jc w:val="left"/>
      </w:pPr>
      <w:r>
        <w:rPr/>
        <w:t xml:space="preserve">(k) Has failed to pay any judgment rendered against it in this state regarding a service contract or protection product guarantee within sixty days after the judgment has become final; or</w:t>
      </w:r>
    </w:p>
    <w:p>
      <w:pPr>
        <w:spacing w:before="0" w:after="0" w:line="408" w:lineRule="exact"/>
        <w:ind w:left="0" w:right="0" w:firstLine="576"/>
        <w:jc w:val="left"/>
      </w:pPr>
      <w:r>
        <w:rPr/>
        <w:t xml:space="preserve">(l) Has failed to respond promptly to any inquiry from the insurance commissioner relative to service contract or protection product business. A lack of response within fifteen business days from receipt of an inquiry is untimely. A response must be in writing, unless otherwise indicated in the inquiry.</w:t>
      </w:r>
    </w:p>
    <w:p>
      <w:pPr>
        <w:spacing w:before="0" w:after="0" w:line="408" w:lineRule="exact"/>
        <w:ind w:left="0" w:right="0" w:firstLine="576"/>
        <w:jc w:val="left"/>
      </w:pPr>
      <w:r>
        <w:rPr/>
        <w:t xml:space="preserve">(2)</w:t>
      </w:r>
      <w:r>
        <w:rPr>
          <w:u w:val="single"/>
        </w:rPr>
        <w:t xml:space="preserve">(a)</w:t>
      </w:r>
      <w:r>
        <w:rPr/>
        <w:t xml:space="preserve"> The commissioner may, without advance notice or hearing thereon, immediately suspend the registration of a service contract provider or protection product guarantee provider if the commissioner finds that any of the following circumstances exist: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provider </w:t>
      </w:r>
      <w:r>
        <w:t>((</w:t>
      </w:r>
      <w:r>
        <w:rPr>
          <w:strike/>
        </w:rPr>
        <w:t xml:space="preserve">is insolvent</w:t>
      </w:r>
      <w:r>
        <w:t>))</w:t>
      </w:r>
      <w:r>
        <w:rPr/>
        <w:t xml:space="preserve"> </w:t>
      </w:r>
      <w:r>
        <w:rPr>
          <w:u w:val="single"/>
        </w:rPr>
        <w:t xml:space="preserve">either does not maintain the minimum net worth required by this chapter or cannot pay its debts when debts become due, or both</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proceeding for receivership, conservatorship, rehabilitation, or other delinquency proceeding regarding the service contract provider or protection product guarantee provider has been commenced in any state;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w:t>
      </w:r>
      <w:r>
        <w:t>((</w:t>
      </w:r>
      <w:r>
        <w:rPr>
          <w:strike/>
        </w:rPr>
        <w:t xml:space="preserve">financial condition or</w:t>
      </w:r>
      <w:r>
        <w:t>))</w:t>
      </w:r>
      <w:r>
        <w:rPr/>
        <w:t xml:space="preserve"> business practices of the service contract provider or protection product guarantee provider otherwise pose an imminent threat to the public health, safety, or welfare of the residents of this state.</w:t>
      </w:r>
    </w:p>
    <w:p>
      <w:pPr>
        <w:spacing w:before="0" w:after="0" w:line="408" w:lineRule="exact"/>
        <w:ind w:left="0" w:right="0" w:firstLine="576"/>
        <w:jc w:val="left"/>
      </w:pPr>
      <w:r>
        <w:rPr>
          <w:u w:val="single"/>
        </w:rPr>
        <w:t xml:space="preserve">(b) However, nothing in this subsection shall in any way be construed to limit the authority of the commissioner to take action against a service contract provider or a protection product guarantee provider granted by this chapter.</w:t>
      </w:r>
    </w:p>
    <w:p>
      <w:pPr>
        <w:spacing w:before="0" w:after="0" w:line="408" w:lineRule="exact"/>
        <w:ind w:left="0" w:right="0" w:firstLine="576"/>
        <w:jc w:val="left"/>
      </w:pPr>
      <w:r>
        <w:rPr/>
        <w:t xml:space="preserve">(3) If the commissioner finds that grounds exist for the suspension or revocation of a registration issued under this chapter, the commissioner may, in lieu of suspension or revocation, impose a fine upon the service contract provider or protection product guarantee provider in an amount not more than two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902</w:t>
      </w:r>
      <w:r>
        <w:rPr/>
        <w:t xml:space="preserve"> and 2016 c 224 s 5 are each amended to read as follows:</w:t>
      </w:r>
    </w:p>
    <w:p>
      <w:pPr>
        <w:spacing w:before="0" w:after="0" w:line="408" w:lineRule="exact"/>
        <w:ind w:left="0" w:right="0" w:firstLine="576"/>
        <w:jc w:val="left"/>
      </w:pPr>
      <w:r>
        <w:rPr/>
        <w:t xml:space="preserve">(1) RCW 48.110.030 (2)(a) and (b), (3), and (4), 48.110.040, 48.110.060, 48.110.100, 48.110.110, 48.110.075 (2)(a) and (b) and (4)(e), and 48.110.073 (1) and (2) do not apply to motor vehicle service contracts issued by a motor vehicle manufacturer or import distributor covering vehicles manufactured or imported by the motor vehicle manufacturer or import distributor. </w:t>
      </w:r>
      <w:r>
        <w:t>((</w:t>
      </w:r>
      <w:r>
        <w:rPr>
          <w:strike/>
        </w:rPr>
        <w:t xml:space="preserve">For purposes of this section, "motor vehicle service contract" includes a contract or agreement sold for separately stated consideration for a specific duration to perform any of the services set forth in RCW 48.110.020(18)(b).</w:t>
      </w:r>
      <w:r>
        <w:t>))</w:t>
      </w:r>
    </w:p>
    <w:p>
      <w:pPr>
        <w:spacing w:before="0" w:after="0" w:line="408" w:lineRule="exact"/>
        <w:ind w:left="0" w:right="0" w:firstLine="576"/>
        <w:jc w:val="left"/>
      </w:pPr>
      <w:r>
        <w:rPr/>
        <w:t xml:space="preserve">(2) RCW 48.110.030(2)(c) does not apply to a publicly traded motor vehicle manufacturer or import distributor.</w:t>
      </w:r>
    </w:p>
    <w:p>
      <w:pPr>
        <w:spacing w:before="0" w:after="0" w:line="408" w:lineRule="exact"/>
        <w:ind w:left="0" w:right="0" w:firstLine="576"/>
        <w:jc w:val="left"/>
      </w:pPr>
      <w:r>
        <w:rPr/>
        <w:t xml:space="preserve">(3) RCW 48.110.030 (2)(a) through (c), (3), and (4), 48.110.040, and 48.110.073(2) do not apply to wholly owned subsidiaries of motor vehicle manufacturers or import distributors. </w:t>
      </w:r>
      <w:r>
        <w:rPr>
          <w:u w:val="single"/>
        </w:rPr>
        <w:t xml:space="preserve">For purposes of this subsection, a company is considered a wholly owned subsidiary as long as it is ultimately owned, directly or indirectly, one hundred percent by single or multiple motor vehicle manufacturers or import distributors.</w:t>
      </w:r>
    </w:p>
    <w:p>
      <w:pPr>
        <w:spacing w:before="0" w:after="0" w:line="408" w:lineRule="exact"/>
        <w:ind w:left="0" w:right="0" w:firstLine="576"/>
        <w:jc w:val="left"/>
      </w:pPr>
      <w:r>
        <w:rPr/>
        <w:t xml:space="preserve">(4) The adoption of chapter 274, Laws of 2006 does not imply that a vehicle protection product warranty was insurance prior to October 1, 2006.</w:t>
      </w:r>
    </w:p>
    <w:p>
      <w:pPr>
        <w:spacing w:before="0" w:after="0" w:line="408" w:lineRule="exact"/>
        <w:ind w:left="0" w:right="0" w:firstLine="576"/>
        <w:jc w:val="left"/>
      </w:pPr>
      <w:r>
        <w:rPr>
          <w:u w:val="single"/>
        </w:rPr>
        <w:t xml:space="preserve">(5) For purposes of this section, "motor vehicle service contract" includes a contract or agreement sold for separately stated consideration for a specific duration to perform any of the services set forth in RCW 48.110.020(18)(b).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110</w:t>
      </w:r>
      <w:r>
        <w:rPr/>
        <w:t xml:space="preserve"> RCW</w:t>
      </w:r>
      <w:r>
        <w:rPr/>
        <w:t xml:space="preserve"> to read as follows:</w:t>
      </w:r>
    </w:p>
    <w:p>
      <w:pPr>
        <w:spacing w:before="0" w:after="0" w:line="408" w:lineRule="exact"/>
        <w:ind w:left="0" w:right="0" w:firstLine="576"/>
        <w:jc w:val="left"/>
      </w:pPr>
      <w:r>
        <w:rPr/>
        <w:t xml:space="preserve">(1) A service contract provider relying on RCW 48.110.050(2)(a) or 48.110.075(2)(a) to assure the faithful performance of its obligations to service contract holders shall calculate the minimum net worth or stockholder's equity required by this chapter in accordance with generally accepted accounting principles as set forth by the financial accounting standards board. A service contract provider must follow generally accepted accounting principles, as set forth by the financial accounting standards board, in regard to either unearned service contract fees or expected service contract claims, or both, when determining its net worth. A service contract provider relying on RCW 48.110.050(2)(a) or 48.110.075(2)(a) may elect to use statutory accounting principles in lieu of generally accepted accounting principles if it so chooses.</w:t>
      </w:r>
    </w:p>
    <w:p>
      <w:pPr>
        <w:spacing w:before="0" w:after="0" w:line="408" w:lineRule="exact"/>
        <w:ind w:left="0" w:right="0" w:firstLine="576"/>
        <w:jc w:val="left"/>
      </w:pPr>
      <w:r>
        <w:rPr/>
        <w:t xml:space="preserve">(2) A service contract provider relying on RCW 48.110.050(2) (b) or (c) to assure the faithful performance of its obligations to service contract holders shall calculate the minimum net worth or stockholder's equity required by this chapter in accordance with generally accepted accounting principles as set forth by the financial accounting standards board but must exclude from its assets all intangible assets including, but not limited to, goodwill, franchises, customer lists, patents or trademarks, and receivables from or advances to officers, directors, employees, salesmen, and affiliated companies when calculating net worth or stockholder's equity. However, a service contract provider relying on RCW 48.110.050(2) (b) or (c) may include receivables from affiliated companies if the affiliated company provides a written irrevocable guarantee to assure repayment of all receivables to the service contract provider and the guaranteeing organization has a net worth or stockholder's equity in excess of one hundred million dollars and submits a statement from a certified public accountant attesting that the net worth or stockholder's equity of the guaranteeing organization meets or exceeds the requirements of this subsection.</w:t>
      </w:r>
    </w:p>
    <w:p>
      <w:pPr>
        <w:spacing w:before="0" w:after="0" w:line="408" w:lineRule="exact"/>
        <w:ind w:left="0" w:right="0" w:firstLine="576"/>
        <w:jc w:val="left"/>
      </w:pPr>
      <w:r>
        <w:rPr/>
        <w:t xml:space="preserve">(3) A protection product guarantee provider that has elected to assure the faithful performance of its obligations to its protection product guarantee holders by insuring all protection product guarantees under a reimbursement insurance policy in accordance with RCW 48.110.055(2)(b) shall calculate the minimum net worth or stockholder's equity required by this chapter in accordance with generally accepted accounting principles as set forth by the financial accounting standards board. A protection product guarantee provider will follow generally accepted accounting principles, as set forth by the financial accounting standards board, in regard to either unearned protection product guarantee contract fees or expected protection product guarantee contract claims, or both, when determining net worth. A protection product guarantee provider may elect to use statutory accounting principles in lieu of generally accepted accounting principles.</w:t>
      </w:r>
    </w:p>
    <w:p/>
    <w:p>
      <w:pPr>
        <w:jc w:val="center"/>
      </w:pPr>
      <w:r>
        <w:rPr>
          <w:b/>
        </w:rPr>
        <w:t>--- END ---</w:t>
      </w:r>
    </w:p>
    <w:sectPr>
      <w:pgNumType w:start="1"/>
      <w:footerReference xmlns:r="http://schemas.openxmlformats.org/officeDocument/2006/relationships" r:id="Rff3fac7363e04a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8ce934966e419d" /><Relationship Type="http://schemas.openxmlformats.org/officeDocument/2006/relationships/footer" Target="/word/footer.xml" Id="Rff3fac7363e04ab5" /></Relationships>
</file>