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11d3fa70d4f94" /></Relationships>
</file>

<file path=word/document.xml><?xml version="1.0" encoding="utf-8"?>
<w:document xmlns:w="http://schemas.openxmlformats.org/wordprocessingml/2006/main">
  <w:body>
    <w:p>
      <w:r>
        <w:t>H-3191.2</w:t>
      </w:r>
    </w:p>
    <w:p>
      <w:pPr>
        <w:jc w:val="center"/>
      </w:pPr>
      <w:r>
        <w:t>_______________________________________________</w:t>
      </w:r>
    </w:p>
    <w:p/>
    <w:p>
      <w:pPr>
        <w:jc w:val="center"/>
      </w:pPr>
      <w:r>
        <w:rPr>
          <w:b/>
        </w:rPr>
        <w:t>HOUSE BILL 2332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Condotta, Ormsby, and Appleton</w:t>
      </w:r>
    </w:p>
    <w:p/>
    <w:p>
      <w:r>
        <w:rPr>
          <w:t xml:space="preserve">Prefiled 12/28/17.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amending RCW 9.46.071 and 42.56.230;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are problem or pathological gamblers.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and pathological gamblers. Therefore, the Washington state gambling commission, the Washington horse racing commission, and the state lottery commission shall jointly develop informational signs concerning problem and pathological gambling which include a toll-free hotline number for problem and pathological gamblers. The signs shall be placed in the establishments of gambling licensees, horse racing licensees, and lottery retailers. In addition,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(b) The legislature finds that problem and pathological gambling continues to negatively impact individuals and families in this state. It is estimated that about five percent of adults in the state will experience problem or pathological gambling behaviors in their lifetime. Previous and ongoing efforts to prevent and assist people in treating problem and pathological gambling have proven beneficial, such as increasing public awareness, funding treatment services for individuals, and requiring informational signs in gambling establishments that include a toll-free hotline number for problem and pathological gamblers. However, people and families facing problem or pathological gambling issues will further benefit from the availability of a uniform self-exclusion program where people may voluntarily exclude themselves from gambling at multiple gambling establishments by submitting one self-exclusion form to the state from one location. It is the intent of subsection (3) of this section to establish such a uniform self-exclusion program to assist people in preventing or ending problem or pathological gambling behaviors permanently. </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and pathological gambling.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treatment of problem and pathological gambling;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services authorized in this section for problem and pathological gamblers.</w:t>
      </w:r>
    </w:p>
    <w:p>
      <w:pPr>
        <w:spacing w:before="0" w:after="0" w:line="408" w:lineRule="exact"/>
        <w:ind w:left="0" w:right="0" w:firstLine="576"/>
        <w:jc w:val="left"/>
      </w:pPr>
      <w:r>
        <w:rPr>
          <w:u w:val="single"/>
        </w:rPr>
        <w:t xml:space="preserve">(3) By June 30, 2020, the commission must adopt rules establishing a self-exclusion program for problem and pathological gamblers. The commission has discretion in establishing the scope and requirements of the self-exclusion program. However, the program must include, at a minimum, the following:</w:t>
      </w:r>
    </w:p>
    <w:p>
      <w:pPr>
        <w:spacing w:before="0" w:after="0" w:line="408" w:lineRule="exact"/>
        <w:ind w:left="0" w:right="0" w:firstLine="576"/>
        <w:jc w:val="left"/>
      </w:pPr>
      <w:r>
        <w:rPr>
          <w:u w:val="single"/>
        </w:rPr>
        <w:t xml:space="preserve">(a) A process for a person who believes the person is or may be a problem or pathological gambler to voluntarily exclude themselves from gambling at all gambling establishments licensed by the commission; and </w:t>
      </w:r>
    </w:p>
    <w:p>
      <w:pPr>
        <w:spacing w:before="0" w:after="0" w:line="408" w:lineRule="exact"/>
        <w:ind w:left="0" w:right="0" w:firstLine="576"/>
        <w:jc w:val="left"/>
      </w:pPr>
      <w:r>
        <w:rPr>
          <w:u w:val="single"/>
        </w:rPr>
        <w:t xml:space="preserve">(b) A process for casinos owned or operated by Indian tribes or tribal enterprises to voluntarily participate in the self-exclusion program, so that ultimately a person who is or may be a problem or pathological gambler may self-exclude themselves from gambling at all casinos and state-licensed gambling establishments in the state, no matter who owns or operates the casino or state-licensed gambling establishment, by submitting one form at one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w:t>
      </w:r>
      <w:r>
        <w:rPr>
          <w:u w:val="single"/>
        </w:rPr>
        <w:t xml:space="preserve">(i)</w:t>
      </w:r>
      <w:r>
        <w:rPr/>
        <w:t xml:space="preserve">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provided under RCW 46.20.111 that indicates that an applicant declined to register with the selective service system.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r>
        <w:rPr>
          <w:u w:val="single"/>
        </w:rPr>
        <w:t xml:space="preserve">.</w:t>
      </w:r>
    </w:p>
    <w:p>
      <w:pPr>
        <w:spacing w:before="0" w:after="0" w:line="408" w:lineRule="exact"/>
        <w:ind w:left="0" w:right="0" w:firstLine="576"/>
        <w:jc w:val="left"/>
      </w:pPr>
      <w:r>
        <w:rPr>
          <w:u w:val="single"/>
        </w:rPr>
        <w:t xml:space="preserve">(b) Upon request by the legislature, the department of licensing must provide a report to the legislature containing all of the information in (a)(iii) and (iv) of this subsection (7) that is subject to public disclosure</w:t>
      </w:r>
      <w:r>
        <w:rPr/>
        <w:t xml:space="preserv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t>((</w:t>
      </w:r>
      <w:r>
        <w:rPr>
          <w:strike/>
        </w:rPr>
        <w:t xml:space="preserve">.</w:t>
      </w:r>
    </w:p>
    <w:p>
      <w:pPr>
        <w:spacing w:before="0" w:after="0" w:line="408" w:lineRule="exact"/>
        <w:ind w:left="0" w:right="0" w:firstLine="576"/>
        <w:jc w:val="left"/>
      </w:pPr>
      <w:r>
        <w:rPr>
          <w:strike/>
        </w:rPr>
        <w:t xml:space="preserve">Upon request by the legislature, the department of licensing shall provide a report to the legislature containing all of the information in subsection (7)(c) and (d) of this section that is subject to public disclosure; and</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submitted by a person to the state, either directly or through a state-licensed gambling establishment or casino owned or operated by an Indian tribe or tribal enterprise, as part of the self-exclusion program established in RCW 9.46.071 for people who believe they are or may be a problem or pathological gambler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65343ab3aa2943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0183c2d154dd3" /><Relationship Type="http://schemas.openxmlformats.org/officeDocument/2006/relationships/footer" Target="/word/footer.xml" Id="R65343ab3aa29435d" /></Relationships>
</file>