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41eb72fc64348" /></Relationships>
</file>

<file path=word/document.xml><?xml version="1.0" encoding="utf-8"?>
<w:document xmlns:w="http://schemas.openxmlformats.org/wordprocessingml/2006/main">
  <w:body>
    <w:p>
      <w:r>
        <w:t>H-3998.1</w:t>
      </w:r>
    </w:p>
    <w:p>
      <w:pPr>
        <w:jc w:val="center"/>
      </w:pPr>
      <w:r>
        <w:t>_______________________________________________</w:t>
      </w:r>
    </w:p>
    <w:p/>
    <w:p>
      <w:pPr>
        <w:jc w:val="center"/>
      </w:pPr>
      <w:r>
        <w:rPr>
          <w:b/>
        </w:rPr>
        <w:t>SUBSTITUTE HOUSE BILL 2367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Reeves, Slatter, Tharinger, Robinson, Kagi, Dolan, Kilduff, Chapman, Doglio, Riccelli, and Stonier)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child care collaborative task force;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and facilitate a child care collaborative task force to examine the effects of child care affordability and accessibility on the workforce and on businesses. The director of the department of commerce or his or her designee must convene the first meeting of the task force by September 1, 2018.</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and</w:t>
      </w:r>
    </w:p>
    <w:p>
      <w:pPr>
        <w:spacing w:before="0" w:after="0" w:line="408" w:lineRule="exact"/>
        <w:ind w:left="0" w:right="0" w:firstLine="576"/>
        <w:jc w:val="left"/>
      </w:pPr>
      <w:r>
        <w:rPr/>
        <w:t xml:space="preserve">(c) Research related to the economic and workforce impacts of employee access to high quality, affordable child care.</w:t>
      </w:r>
    </w:p>
    <w:p>
      <w:pPr>
        <w:spacing w:before="0" w:after="0" w:line="408" w:lineRule="exact"/>
        <w:ind w:left="0" w:right="0" w:firstLine="576"/>
        <w:jc w:val="left"/>
      </w:pPr>
      <w:r>
        <w:rPr/>
        <w:t xml:space="preserve">(3) The governor shall appoint additional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Four representatives of advocacy organizations representing parents, early learning, foster care youth, and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and</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p>
    <w:p>
      <w:pPr>
        <w:spacing w:before="0" w:after="0" w:line="408" w:lineRule="exact"/>
        <w:ind w:left="0" w:right="0" w:firstLine="576"/>
        <w:jc w:val="left"/>
      </w:pPr>
      <w:r>
        <w:rPr/>
        <w:t xml:space="preserve">(8) The director of commerce or his or her designee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In accordance with RCW 43.01.036 the task force shall report its findings and recommendations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rPr/>
        <w:t xml:space="preserve">(14) This section expires December 30, 2019.</w:t>
      </w:r>
    </w:p>
    <w:p/>
    <w:p>
      <w:pPr>
        <w:jc w:val="center"/>
      </w:pPr>
      <w:r>
        <w:rPr>
          <w:b/>
        </w:rPr>
        <w:t>--- END ---</w:t>
      </w:r>
    </w:p>
    <w:sectPr>
      <w:pgNumType w:start="1"/>
      <w:footerReference xmlns:r="http://schemas.openxmlformats.org/officeDocument/2006/relationships" r:id="Rce074652158f43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1c19e277b4ea3" /><Relationship Type="http://schemas.openxmlformats.org/officeDocument/2006/relationships/footer" Target="/word/footer.xml" Id="Rce074652158f43a8" /></Relationships>
</file>