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e5caee9ea7439d" /></Relationships>
</file>

<file path=word/document.xml><?xml version="1.0" encoding="utf-8"?>
<w:document xmlns:w="http://schemas.openxmlformats.org/wordprocessingml/2006/main">
  <w:body>
    <w:p>
      <w:r>
        <w:t>H-4656.1</w:t>
      </w:r>
    </w:p>
    <w:p>
      <w:pPr>
        <w:jc w:val="center"/>
      </w:pPr>
      <w:r>
        <w:t>_______________________________________________</w:t>
      </w:r>
    </w:p>
    <w:p/>
    <w:p>
      <w:pPr>
        <w:jc w:val="center"/>
      </w:pPr>
      <w:r>
        <w:rPr>
          <w:b/>
        </w:rPr>
        <w:t>SECOND SUBSTITUTE HOUSE BILL 2390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Pollet, Haler, Tarleton, McBride, Peterson, Dolan, Frame, Valdez, Kilduff, Senn, Stanford, Kloba, Clibborn, Macri, Ryu, Doglio, Riccelli, and Gregerson)</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2015, opioids, including prescription opioids, heroin, and fentanyl, killed more than thirty-three thousand people in the United States. In 2016, opioids killed six hundred ninety-four people in Washington and caused over one thousand four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(c) "School" means a public school, school district, or educational service district with any of grades kindergarten through twelve; and</w:t>
      </w:r>
    </w:p>
    <w:p>
      <w:pPr>
        <w:spacing w:before="0" w:after="0" w:line="408" w:lineRule="exact"/>
        <w:ind w:left="0" w:right="0" w:firstLine="576"/>
        <w:jc w:val="left"/>
      </w:pPr>
      <w:r>
        <w:rPr/>
        <w:t xml:space="preserve">(d) "Standing order" has the meaning provided in RCW 69.41.095.</w:t>
      </w:r>
    </w:p>
    <w:p>
      <w:pPr>
        <w:spacing w:before="0" w:after="0" w:line="408" w:lineRule="exact"/>
        <w:ind w:left="0" w:right="0" w:firstLine="576"/>
        <w:jc w:val="left"/>
      </w:pPr>
      <w:r>
        <w:rPr/>
        <w:t xml:space="preserve">(2)(a)(i)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(ii) Each high school is encouraged to obtain and maintain at least one set of opioid overdose medication doses.</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the 2018-19 school year,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January 1, 2019,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subsection </w:t>
      </w:r>
      <w:r>
        <w:t>((</w:t>
      </w:r>
      <w:r>
        <w:rPr>
          <w:strike/>
        </w:rPr>
        <w:t xml:space="preserve">(8)(a)</w:t>
      </w:r>
      <w:r>
        <w:t>))</w:t>
      </w:r>
      <w:r>
        <w:rPr/>
        <w:t xml:space="preserve"> </w:t>
      </w:r>
      <w:r>
        <w:rPr>
          <w:u w:val="single"/>
        </w:rPr>
        <w:t xml:space="preserve">(2)</w:t>
      </w:r>
      <w:r>
        <w:rPr/>
        <w:t xml:space="preserve"> of this section for the additional care the parents have authorized the parent-designated adult to provide. The professional person designated under this subsection is not responsible for the supervision of the parent-designated adult for those procedures that are authorized by the parents;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This section does not apply to topical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(k) This section does not apply to opioid overdose medication. Provisions related to maintenance and administration of opioid overdose medication are in section 2 of this act</w:t>
      </w:r>
      <w:r>
        <w:rPr/>
        <w:t xml:space="preserve">.</w:t>
      </w:r>
    </w:p>
    <w:p>
      <w:pPr>
        <w:spacing w:before="0" w:after="0" w:line="408" w:lineRule="exact"/>
        <w:ind w:left="0" w:right="0" w:firstLine="576"/>
        <w:jc w:val="left"/>
      </w:pPr>
      <w:r>
        <w:rPr>
          <w:u w:val="single"/>
        </w:rPr>
        <w:t xml:space="preserve">(2)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2018-19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
      <w:pPr>
        <w:jc w:val="center"/>
      </w:pPr>
      <w:r>
        <w:rPr>
          <w:b/>
        </w:rPr>
        <w:t>--- END ---</w:t>
      </w:r>
    </w:p>
    <w:sectPr>
      <w:pgNumType w:start="1"/>
      <w:footerReference xmlns:r="http://schemas.openxmlformats.org/officeDocument/2006/relationships" r:id="R9d708654a5904e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bbabff3a7f436e" /><Relationship Type="http://schemas.openxmlformats.org/officeDocument/2006/relationships/footer" Target="/word/footer.xml" Id="R9d708654a5904e86" /></Relationships>
</file>