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839b0d01d43c6" /></Relationships>
</file>

<file path=word/document.xml><?xml version="1.0" encoding="utf-8"?>
<w:document xmlns:w="http://schemas.openxmlformats.org/wordprocessingml/2006/main">
  <w:body>
    <w:p>
      <w:r>
        <w:t>Z-0710.1</w:t>
      </w:r>
    </w:p>
    <w:p>
      <w:pPr>
        <w:jc w:val="center"/>
      </w:pPr>
      <w:r>
        <w:t>_______________________________________________</w:t>
      </w:r>
    </w:p>
    <w:p/>
    <w:p>
      <w:pPr>
        <w:jc w:val="center"/>
      </w:pPr>
      <w:r>
        <w:rPr>
          <w:b/>
        </w:rPr>
        <w:t>HOUSE BILL 2421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Haler, Kilduff, Valdez, Orwall, Muri, Gregerson, Kirby, Stanford, Kagi, Lytton, Clibborn, Appleton, Pollet, and Ormsby; by request of Attorney General</w:t>
      </w:r>
    </w:p>
    <w:p/>
    <w:p>
      <w:r>
        <w:rPr>
          <w:t xml:space="preserve">Read first time 01/09/18.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for the consolidation of traffic-based financial obligations; amending RCW 2.56.030 and 46.63.110; adding a new section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driver's license suspensions are a frequent consequence when individuals fail to pay their traffic fines, and that such failure to pay is sometimes caused by the inability of an individual to pay all of the fines at once. The legislature desires to provide a mechanism for consolidating a person's traffic-based financial obligations into a single affordable payment plan that facilitates the appropriate reinstatement of driving privileges.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crimes of malicious harassment, as well as specific legal skills and knowledge of RCW 9A.36.080, relevant cases, court rules, and the special needs of malicious harassment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r>
        <w:rPr>
          <w:u w:val="single"/>
        </w:rPr>
        <w:t xml:space="preserve">;</w:t>
      </w:r>
    </w:p>
    <w:p>
      <w:pPr>
        <w:spacing w:before="0" w:after="0" w:line="408" w:lineRule="exact"/>
        <w:ind w:left="0" w:right="0" w:firstLine="576"/>
        <w:jc w:val="left"/>
      </w:pPr>
      <w:r>
        <w:rPr>
          <w:u w:val="single"/>
        </w:rPr>
        <w:t xml:space="preserve">(24) Establish a unified payment plan system for the consolidation of multiple traffic-based financial obligations 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administrator for the courts shall create a unified payment plan system to allow for the consolidation of multiple traffic-based financial obligations from courts of limited jurisdiction.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"Payment plan" has the meaning provided in RCW 46.63.110(6).</w:t>
      </w:r>
    </w:p>
    <w:p>
      <w:pPr>
        <w:spacing w:before="0" w:after="0" w:line="408" w:lineRule="exact"/>
        <w:ind w:left="0" w:right="0" w:firstLine="576"/>
        <w:jc w:val="left"/>
      </w:pPr>
      <w:r>
        <w:rPr/>
        <w:t xml:space="preserve">(b) "Traffic-based financial obligations" means any monetary penalty or monetary obligation imposed when a person is either found to have committed a traffic infraction or found to be guilty of a traffic misdemeanor or gross misdemeanor offense, and includes all associated costs, fees, fines, and pecuniary penalties.</w:t>
      </w:r>
    </w:p>
    <w:p>
      <w:pPr>
        <w:spacing w:before="0" w:after="0" w:line="408" w:lineRule="exact"/>
        <w:ind w:left="0" w:right="0" w:firstLine="576"/>
        <w:jc w:val="left"/>
      </w:pPr>
      <w:r>
        <w:rPr/>
        <w:t xml:space="preserve">(3) The administrator for the courts may use collection agencies to the same extent as courts of limited jurisdiction as provided in RCW 3.02.045.</w:t>
      </w:r>
    </w:p>
    <w:p>
      <w:pPr>
        <w:spacing w:before="0" w:after="0" w:line="408" w:lineRule="exact"/>
        <w:ind w:left="0" w:right="0" w:firstLine="576"/>
        <w:jc w:val="left"/>
      </w:pPr>
      <w:r>
        <w:rPr/>
        <w:t xml:space="preserve">(4) Except as provided in subsection (5) of this section, a person is eligible to participate in the unified payment plan system when he or she has either:</w:t>
      </w:r>
    </w:p>
    <w:p>
      <w:pPr>
        <w:spacing w:before="0" w:after="0" w:line="408" w:lineRule="exact"/>
        <w:ind w:left="0" w:right="0" w:firstLine="576"/>
        <w:jc w:val="left"/>
      </w:pPr>
      <w:r>
        <w:rPr/>
        <w:t xml:space="preserve">(a) More than one order for a license suspension issued pursuant to RCW 46.20.289 on his or her driving abstract in effect at the time of application; or</w:t>
      </w:r>
    </w:p>
    <w:p>
      <w:pPr>
        <w:spacing w:before="0" w:after="0" w:line="408" w:lineRule="exact"/>
        <w:ind w:left="0" w:right="0" w:firstLine="576"/>
        <w:jc w:val="left"/>
      </w:pPr>
      <w:r>
        <w:rPr/>
        <w:t xml:space="preserve">(b) One order for a license suspension issued pursuant to RCW 46.20.289 on his or her driving abstract in effect at the time of application and outstanding traffic-based financial obligations totaling more than seven hundred fifty dollars.</w:t>
      </w:r>
    </w:p>
    <w:p>
      <w:pPr>
        <w:spacing w:before="0" w:after="0" w:line="408" w:lineRule="exact"/>
        <w:ind w:left="0" w:right="0" w:firstLine="576"/>
        <w:jc w:val="left"/>
      </w:pPr>
      <w:r>
        <w:rPr/>
        <w:t xml:space="preserve">(5)(a) A person is ineligible to participate in the unified payment plan system if he or she is the subject of any outstanding arrest warrant.</w:t>
      </w:r>
    </w:p>
    <w:p>
      <w:pPr>
        <w:spacing w:before="0" w:after="0" w:line="408" w:lineRule="exact"/>
        <w:ind w:left="0" w:right="0" w:firstLine="576"/>
        <w:jc w:val="left"/>
      </w:pPr>
      <w:r>
        <w:rPr/>
        <w:t xml:space="preserve">(b) A person is temporarily ineligible to participate in the unified payment plan system for a period of two years if he or she had his or her payment plan terminated more than three times in the most recent three-year period.</w:t>
      </w:r>
    </w:p>
    <w:p>
      <w:pPr>
        <w:spacing w:before="0" w:after="0" w:line="408" w:lineRule="exact"/>
        <w:ind w:left="0" w:right="0" w:firstLine="576"/>
        <w:jc w:val="left"/>
      </w:pPr>
      <w:r>
        <w:rPr/>
        <w:t xml:space="preserve">(6) The supreme court shall prescribe by rule a policy governing payment plan terms for the unified payment plan system. The legislature respectfully requests the supreme court to review the policy every two years in conjunction with adjusting the schedule of monetary penalties for designated traffic infractions as provided in RCW 46.63.110(3).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w:t>
      </w:r>
      <w:r>
        <w:rPr>
          <w:u w:val="single"/>
        </w:rPr>
        <w:t xml:space="preserve">or has entered into a payment plan through the unified payment plan system authorized under section 3 of this act</w:t>
      </w:r>
      <w:r>
        <w:rPr/>
        <w:t xml:space="preserve">.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w:t>
      </w:r>
      <w:r>
        <w:rPr>
          <w:u w:val="single"/>
        </w:rPr>
        <w:t xml:space="preserve">If a person has not entered into a payment plan with the court and has not paid the monetary obligation in full on or before the time established for payment, the person, if eligible, may apply to participate in the unified payment plan system authorized under section 3 of this act.</w:t>
      </w:r>
    </w:p>
    <w:p>
      <w:pPr>
        <w:spacing w:before="0" w:after="0" w:line="408" w:lineRule="exact"/>
        <w:ind w:left="0" w:right="0" w:firstLine="576"/>
        <w:jc w:val="left"/>
      </w:pPr>
      <w:r>
        <w:rPr>
          <w:u w:val="single"/>
        </w:rPr>
        <w:t xml:space="preserve">(d)</w:t>
      </w:r>
      <w:r>
        <w:rPr/>
        <w:t xml:space="preserve"> If the payment plan is to be administered by the court </w:t>
      </w:r>
      <w:r>
        <w:rPr>
          <w:u w:val="single"/>
        </w:rPr>
        <w:t xml:space="preserve">or the administrator for the courts</w:t>
      </w:r>
      <w:r>
        <w:rPr/>
        <w:t xml:space="preserve">, the court </w:t>
      </w:r>
      <w:r>
        <w:rPr>
          <w:u w:val="single"/>
        </w:rPr>
        <w:t xml:space="preserve">or the administrator for the courts</w:t>
      </w:r>
      <w:r>
        <w:rPr/>
        <w:t xml:space="preserve"> may assess the person a reasonable administrative fee </w:t>
      </w:r>
      <w:r>
        <w:t>((</w:t>
      </w:r>
      <w:r>
        <w:rPr>
          <w:strike/>
        </w:rPr>
        <w:t xml:space="preserve">to be</w:t>
      </w:r>
      <w:r>
        <w:t>))</w:t>
      </w:r>
      <w:r>
        <w:rPr>
          <w:u w:val="single"/>
        </w:rPr>
        <w:t xml:space="preserve">. If such fee is assessed by the court, the fee is</w:t>
      </w:r>
      <w:r>
        <w:rPr/>
        <w:t xml:space="preserve"> wholly retained by the city or county with jurisdiction. </w:t>
      </w:r>
      <w:r>
        <w:rPr>
          <w:u w:val="single"/>
        </w:rPr>
        <w:t xml:space="preserve">If such fee is assessed by the administrator for the courts, the fee is wholly retained by the administrator for the courts.</w:t>
      </w:r>
      <w:r>
        <w:rPr/>
        <w:t xml:space="preserve"> The administrative fee shall not exceed ten dollars per infraction or twenty-five dollars per payment plan, whichever is less</w:t>
      </w:r>
      <w:r>
        <w:rPr>
          <w:u w:val="single"/>
        </w:rPr>
        <w:t xml:space="preserve">, except that when the administrative fee is assessed by the administrator for the courts the fee may be equivalent to the amount allowed under RCW 46.20.341(2)(e)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section precludes a court </w:t>
      </w:r>
      <w:r>
        <w:rPr>
          <w:u w:val="single"/>
        </w:rPr>
        <w:t xml:space="preserve">or the administrator for the courts</w:t>
      </w:r>
      <w:r>
        <w:rPr/>
        <w:t xml:space="preserve"> from contracting with outside entities to administer its payment plan system. When outside entities are used for the administration of a payment plan, the court </w:t>
      </w:r>
      <w:r>
        <w:rPr>
          <w:u w:val="single"/>
        </w:rPr>
        <w:t xml:space="preserve">or the administrator for the courts</w:t>
      </w:r>
      <w:r>
        <w:rPr/>
        <w:t xml:space="preserve"> may assess the person a reasonable fee for such administrative services, which fee may be calculated on a periodic, percentage, or other basis.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
      <w:pPr>
        <w:jc w:val="center"/>
      </w:pPr>
      <w:r>
        <w:rPr>
          <w:b/>
        </w:rPr>
        <w:t>--- END ---</w:t>
      </w:r>
    </w:p>
    <w:sectPr>
      <w:pgNumType w:start="1"/>
      <w:footerReference xmlns:r="http://schemas.openxmlformats.org/officeDocument/2006/relationships" r:id="R882d3fff298643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75f3ae5d540d1" /><Relationship Type="http://schemas.openxmlformats.org/officeDocument/2006/relationships/footer" Target="/word/footer.xml" Id="R882d3fff298643c1" /></Relationships>
</file>