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1ed10a49d4db4" /></Relationships>
</file>

<file path=word/document.xml><?xml version="1.0" encoding="utf-8"?>
<w:document xmlns:w="http://schemas.openxmlformats.org/wordprocessingml/2006/main">
  <w:body>
    <w:p>
      <w:r>
        <w:t>H-3294.2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Blake, Muri, and Barkis</w:t>
      </w:r>
    </w:p>
    <w:p/>
    <w:p>
      <w:r>
        <w:rPr>
          <w:t xml:space="preserve">Read first time 01/09/18.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vehicular assault; amending RCW 46.61.522; creating a new section;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.</w:t>
      </w:r>
      <w:r>
        <w:t xml:space="preserve">522</w:t>
      </w:r>
      <w:r>
        <w:rPr/>
        <w:t xml:space="preserve"> and 2001 c 300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vehicular assault if he or she operates or drives any vehicle: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 a reckless manner and causes substantial bodily harm to another;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While under the influence of intoxicating liquor or any drug, as defined by RCW 46.61.502, and causes substantial bodily  harm to another;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With disregard for the safety of others and causes substantial bodily harm to another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And causes substantial bodily harm to a vulnerable user of a public way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Vehicular assault is a class B felony punishable under chapter 9A.20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section, "substantial bodily harm" has the same meaning as in RCW 9A.04.110.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Leprechaun Cain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b335f9e2f0c45c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758cc82a04be9" /><Relationship Type="http://schemas.openxmlformats.org/officeDocument/2006/relationships/footer" Target="/word/footer.xml" Id="Rcb335f9e2f0c45cf" /></Relationships>
</file>