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51122dfd1459d" /></Relationships>
</file>

<file path=word/document.xml><?xml version="1.0" encoding="utf-8"?>
<w:document xmlns:w="http://schemas.openxmlformats.org/wordprocessingml/2006/main">
  <w:body>
    <w:p>
      <w:r>
        <w:t>H-3473.1</w:t>
      </w:r>
    </w:p>
    <w:p>
      <w:pPr>
        <w:jc w:val="center"/>
      </w:pPr>
      <w:r>
        <w:t>_______________________________________________</w:t>
      </w:r>
    </w:p>
    <w:p/>
    <w:p>
      <w:pPr>
        <w:jc w:val="center"/>
      </w:pPr>
      <w:r>
        <w:rPr>
          <w:b/>
        </w:rPr>
        <w:t>HOUSE BILL 2457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and Klippert</w:t>
      </w:r>
    </w:p>
    <w:p/>
    <w:p>
      <w:r>
        <w:rPr>
          <w:t xml:space="preserve">Read first time 01/09/18.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 in criminal cases involving domestic violence; amending RCW 10.99.050 and 9.95.210;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the court of appeals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a no-contact order that remains in place at least for the period of time determined by the court, and until the defendant has completed his or her sentence when the sentence extends beyond the normal maximum due to consecutive sentences, tolling while on warrant status, or another reason.</w:t>
      </w:r>
    </w:p>
    <w:p>
      <w:pPr>
        <w:spacing w:before="0" w:after="0" w:line="408" w:lineRule="exact"/>
        <w:ind w:left="0" w:right="0" w:firstLine="576"/>
        <w:jc w:val="left"/>
      </w:pPr>
      <w:r>
        <w:rPr/>
        <w:t xml:space="preserve">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and create a consistent standard for the maximum duration of domestic violence no-contact orders in nonfelony cases across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disposition shall remain in effect for a fixed period of time as determined by the court, not to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disposition shall remain in effect for a fixed period of time determined by the court, not to exceed the adult maximum sentence as stated in RCW 9A.20.021(1).</w:t>
      </w:r>
    </w:p>
    <w:p>
      <w:pPr>
        <w:spacing w:before="0" w:after="0" w:line="408" w:lineRule="exact"/>
        <w:ind w:left="0" w:right="0" w:firstLine="576"/>
        <w:jc w:val="left"/>
      </w:pPr>
      <w:r>
        <w:rPr>
          <w:u w:val="single"/>
        </w:rPr>
        <w:t xml:space="preserve">(e) If the defendant remains subject to imprisonment, community supervision, conditional release, probation, or parole beyond the time period designated by the court under (c) or (d) of this subsection, the order issued pursuant to this section shall remain in effect until expiration of that condition.</w:t>
      </w:r>
    </w:p>
    <w:p>
      <w:pPr>
        <w:spacing w:before="0" w:after="0" w:line="408" w:lineRule="exact"/>
        <w:ind w:left="0" w:right="0" w:firstLine="576"/>
        <w:jc w:val="left"/>
      </w:pPr>
      <w:r>
        <w:rPr>
          <w:u w:val="single"/>
        </w:rPr>
        <w:t xml:space="preserve">(f) A court's authority to modify an order issued pursuant to this section includes, but is not limited to, the authority to extend the expiration date of the order, subject to the limitations identified in (c) through (e) of this subsection.</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w:t>
      </w:r>
      <w:r>
        <w:t>((</w:t>
      </w:r>
      <w:r>
        <w:rPr>
          <w:strike/>
        </w:rPr>
        <w:t xml:space="preserve">and 9.94A.5011</w:t>
      </w:r>
      <w:r>
        <w:t>))</w:t>
      </w:r>
      <w:r>
        <w:rPr/>
        <w:t xml:space="preserve"> apply to sentences imposed under this section.</w:t>
      </w:r>
    </w:p>
    <w:p>
      <w:pPr>
        <w:spacing w:before="0" w:after="0" w:line="408" w:lineRule="exact"/>
        <w:ind w:left="0" w:right="0" w:firstLine="576"/>
        <w:jc w:val="left"/>
      </w:pPr>
      <w:r>
        <w:rPr>
          <w:u w:val="single"/>
        </w:rPr>
        <w:t xml:space="preserve">(7) For purposes of this section "domestic violence offense" means a crime included in RCW 10.99.020 that is not a felony offense.</w:t>
      </w:r>
    </w:p>
    <w:p/>
    <w:p>
      <w:pPr>
        <w:jc w:val="center"/>
      </w:pPr>
      <w:r>
        <w:rPr>
          <w:b/>
        </w:rPr>
        <w:t>--- END ---</w:t>
      </w:r>
    </w:p>
    <w:sectPr>
      <w:pgNumType w:start="1"/>
      <w:footerReference xmlns:r="http://schemas.openxmlformats.org/officeDocument/2006/relationships" r:id="Rc0e7a62da5304f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d756912ea4b73" /><Relationship Type="http://schemas.openxmlformats.org/officeDocument/2006/relationships/footer" Target="/word/footer.xml" Id="Rc0e7a62da5304f2d" /></Relationships>
</file>