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0bb7b2eb644b0" /></Relationships>
</file>

<file path=word/document.xml><?xml version="1.0" encoding="utf-8"?>
<w:document xmlns:w="http://schemas.openxmlformats.org/wordprocessingml/2006/main">
  <w:body>
    <w:p>
      <w:r>
        <w:t>H-4941.1</w:t>
      </w:r>
    </w:p>
    <w:p>
      <w:pPr>
        <w:jc w:val="center"/>
      </w:pPr>
      <w:r>
        <w:t>_______________________________________________</w:t>
      </w:r>
    </w:p>
    <w:p/>
    <w:p>
      <w:pPr>
        <w:jc w:val="center"/>
      </w:pPr>
      <w:r>
        <w:rPr>
          <w:b/>
        </w:rPr>
        <w:t>SUBSTITUTE HOUSE BILL 2469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Clibborn and Fey; by request of Office of Financial Management)</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88.16.061; amending 2017 c 313 ss 101, 103, 105, 106, 108, 202-223, 301-311, 401, 402, 404, 406-408, 601, and 606 (uncodified); amending and 2017 3rd sp.s. c 1 ss 995, 726-733, 735, and 736 (uncodified); adding new sections to 2017 c 313 (uncodified); repealing 2017 c 288 s 5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$1,306,000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Washington state county road administration board, the state of Washington transportation improvement board,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$2,029,000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$95,000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$1,972,000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$1,015,000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(7)(a) $95,000 of the highway safety account</w:t>
      </w:r>
      <w:r>
        <w:rPr>
          <w:rFonts w:ascii="Times New Roman" w:hAnsi="Times New Roman"/>
          <w:u w:val="single"/>
        </w:rPr>
        <w:t xml:space="preserve">—</w:t>
      </w:r>
      <w:r>
        <w:rPr>
          <w:u w:val="single"/>
        </w:rPr>
        <w:t xml:space="preserve">state appropriation is provided solely for the joint transportation committee, in consultation with the department of licensing, to assess opportunities for improving the ability of commercial driver's license holders and applicants to obtain commercial driver's license medical certification and variances, when not governed by federal law, to address the current shortage of individuals who are authorized to drive commercial motor vehicles in the state by maximizing the availability of commercial driver's licenses for individuals who are able to safely drive these vehicles. The joint transportation committee must review current department of licensing practices and state laws and regulations, evaluating potential opportunities to expand eligibility criteria for commercial driver's license medical certifications and variances, and make recommendations regarding how department of licensing practices and state laws and regulations can be modified to increase the availability of commercial driver's licenses to address the current shortage of individuals who are authorized to drive commercial motor vehicles in the state.</w:t>
      </w:r>
    </w:p>
    <w:p>
      <w:pPr>
        <w:spacing w:before="0" w:after="0" w:line="408" w:lineRule="exact"/>
        <w:ind w:left="0" w:right="0" w:firstLine="576"/>
        <w:jc w:val="left"/>
      </w:pPr>
      <w:r>
        <w:rPr>
          <w:u w:val="single"/>
        </w:rPr>
        <w:t xml:space="preserve">(b) This review must include an assessment of possible approaches for developing a system within the department of licensing, such as through the use of a new state medical advisory board or panel, for setting state (i) medical certification requirements for excepted interstate commercial driver's license holders and applicants; and (ii) medical waiver requirements for physicians to use in evaluating whether to grant medical variances to intrastate nonexcepted commercial driver's license holders and applicants. Methods in use by other states to set state medical certification and medical waiver requirements must be considered. Under this approach, medical standards, when not governed by federal law, would be determined by the state rather than set by default to exceed or match federal medical standards for requiring medical certifications from excepted interstate commercial driver's license holders and applicants and for granting medical variances to intrastate commercial driver's license holders and applicants. In the case of medical variances, the medical standards adopted would be required to be based on sound medical judgment combined with appropriate performance standards ensuring no adverse effect on safety, as specified in 49 C.F.R. Sec. 350.341(h)(2).</w:t>
      </w:r>
    </w:p>
    <w:p>
      <w:pPr>
        <w:spacing w:before="0" w:after="0" w:line="408" w:lineRule="exact"/>
        <w:ind w:left="0" w:right="0" w:firstLine="576"/>
        <w:jc w:val="left"/>
      </w:pPr>
      <w:r>
        <w:rPr>
          <w:u w:val="single"/>
        </w:rPr>
        <w:t xml:space="preserve">(c) In conducting this review, in addition to consulting with the department of licensing, the joint transportation committee must consult with stakeholders who currently rely on the state's commercial driver's license medical certification process, the Washington state patrol, the traffic safety commission, and the state department of health.</w:t>
      </w:r>
    </w:p>
    <w:p>
      <w:pPr>
        <w:spacing w:before="0" w:after="0" w:line="408" w:lineRule="exact"/>
        <w:ind w:left="0" w:right="0" w:firstLine="576"/>
        <w:jc w:val="left"/>
      </w:pPr>
      <w:r>
        <w:rPr>
          <w:u w:val="single"/>
        </w:rPr>
        <w:t xml:space="preserve">(d) An overview of the work conducted and the recommendations developed, including specific changes to state law and regulations, are due to the transportation committees of the legislature and the governor by November 1, 2018. Recommendations should include methods for expediting implementation of the recommendations made, without compromising safety considerations, to address the current shortage of individuals who are authorized to drive commercial motor vehicles in the state as quickly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work group) for the commission to fund the facilitation and coordination of work group activities. If chapter . . . (Substitute House Bill No. 2970),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$836,000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$490,774,000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$14,592,000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$511,245,000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w:t>
      </w:r>
      <w:r>
        <w:t>))</w:t>
      </w:r>
      <w:r>
        <w:rPr/>
        <w:t xml:space="preserve"> </w:t>
      </w:r>
      <w:r>
        <w:rPr>
          <w:u w:val="single"/>
        </w:rPr>
        <w:t xml:space="preserve">406</w:t>
      </w:r>
      <w:r>
        <w:rPr/>
        <w:t xml:space="preserve">(25)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u w:val="single"/>
        </w:rPr>
        <w:t xml:space="preserve">(8) $100,000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$268,694,000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$6,899,000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r>
        <w:rPr>
          <w:u w:val="single"/>
        </w:rPr>
        <w:t xml:space="preserve">Abandoned RV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$382,509,000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$205,000 of the highway safety account</w:t>
      </w:r>
      <w:r>
        <w:rPr>
          <w:rFonts w:ascii="Times New Roman" w:hAnsi="Times New Roman"/>
          <w:strike/>
        </w:rPr>
        <w:t xml:space="preserve">—</w:t>
      </w:r>
      <w:r>
        <w:rPr>
          <w:strike/>
        </w:rPr>
        <w:t xml:space="preserve">state</w:t>
      </w:r>
      <w:r>
        <w:t>))</w:t>
      </w:r>
      <w:r>
        <w:rPr/>
        <w:t xml:space="preserve"> </w:t>
      </w:r>
      <w:r>
        <w:rPr>
          <w:u w:val="single"/>
        </w:rPr>
        <w:t xml:space="preserve">$230,000 of the motor vehicle account</w:t>
      </w:r>
      <w:r>
        <w:rPr>
          <w:rFonts w:ascii="Times New Roman" w:hAnsi="Times New Roman"/>
          <w:u w:val="single"/>
        </w:rPr>
        <w:t xml:space="preserve">—</w:t>
      </w:r>
      <w:r>
        <w:rPr>
          <w:u w:val="single"/>
        </w:rPr>
        <w:t xml:space="preserve">private/local</w:t>
      </w:r>
      <w:r>
        <w:rPr/>
        <w:t xml:space="preserve"> appropriation is provided solely for the implementation of chapter . . . (Engrossed House Bill No. 2201), Laws of </w:t>
      </w:r>
      <w:r>
        <w:t>((</w:t>
      </w:r>
      <w:r>
        <w:rPr>
          <w:strike/>
        </w:rPr>
        <w:t xml:space="preserve">2017</w:t>
      </w:r>
      <w:r>
        <w:t>))</w:t>
      </w:r>
      <w:r>
        <w:rPr/>
        <w:t xml:space="preserve"> </w:t>
      </w:r>
      <w:r>
        <w:rPr>
          <w:u w:val="single"/>
        </w:rPr>
        <w:t xml:space="preserve">2018</w:t>
      </w:r>
      <w:r>
        <w:rPr/>
        <w:t xml:space="preserve"> (MVET collection). If chapter . . . (Engrossed House Bill No. 2201), Laws of </w:t>
      </w:r>
      <w:r>
        <w:t>((</w:t>
      </w:r>
      <w:r>
        <w:rPr>
          <w:strike/>
        </w:rPr>
        <w:t xml:space="preserve">2017</w:t>
      </w:r>
      <w:r>
        <w:t>))</w:t>
      </w:r>
      <w:r>
        <w:rPr/>
        <w:t xml:space="preserve"> </w:t>
      </w:r>
      <w:r>
        <w:rPr>
          <w:u w:val="single"/>
        </w:rPr>
        <w:t xml:space="preserve">2018</w:t>
      </w:r>
      <w:r>
        <w:rPr/>
        <w:t xml:space="preserve"> is not enacted by June 30, </w:t>
      </w:r>
      <w:r>
        <w:t>((</w:t>
      </w:r>
      <w:r>
        <w:rPr>
          <w:strike/>
        </w:rPr>
        <w:t xml:space="preserve">2017</w:t>
      </w:r>
      <w:r>
        <w:t>))</w:t>
      </w:r>
      <w:r>
        <w:rPr/>
        <w:t xml:space="preserve"> </w:t>
      </w:r>
      <w:r>
        <w:rPr>
          <w:u w:val="single"/>
        </w:rPr>
        <w:t xml:space="preserve">2018</w:t>
      </w:r>
      <w:r>
        <w:rPr/>
        <w:t xml:space="preserve">,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w:t>
      </w:r>
      <w:r>
        <w:t>))</w:t>
      </w:r>
      <w:r>
        <w:rPr/>
        <w:t xml:space="preserve"> </w:t>
      </w:r>
      <w:r>
        <w:rPr>
          <w:u w:val="single"/>
        </w:rPr>
        <w:t xml:space="preserve">$46,718,000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w:t>
      </w:r>
      <w:r>
        <w:rPr>
          <w:u w:val="single"/>
        </w:rPr>
        <w:t xml:space="preserve">$27,247,000 of</w:t>
      </w:r>
      <w:r>
        <w:rPr/>
        <w:t xml:space="preserve"> the </w:t>
      </w:r>
      <w:r>
        <w:t>((</w:t>
      </w:r>
      <w:r>
        <w:rPr>
          <w:strike/>
        </w:rPr>
        <w:t xml:space="preserve">entire</w:t>
      </w:r>
      <w:r>
        <w:t>))</w:t>
      </w:r>
      <w:r>
        <w:rPr/>
        <w:t xml:space="preserv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w:t>
      </w:r>
      <w:r>
        <w:t>((</w:t>
      </w:r>
      <w:r>
        <w:rPr>
          <w:strike/>
        </w:rPr>
        <w:t xml:space="preserve">2016</w:t>
      </w:r>
      <w:r>
        <w:t>))</w:t>
      </w:r>
      <w:r>
        <w:rPr/>
        <w:t xml:space="preserve"> </w:t>
      </w:r>
      <w:r>
        <w:rPr>
          <w:u w:val="single"/>
        </w:rPr>
        <w:t xml:space="preserve">2017</w:t>
      </w:r>
      <w:r>
        <w:rPr/>
        <w:t xml:space="preserve">. The department and the office of financial management shall evaluate the use of these funds on a monthly basis and </w:t>
      </w:r>
      <w:r>
        <w:t>((</w:t>
      </w:r>
      <w:r>
        <w:rPr>
          <w:strike/>
        </w:rPr>
        <w:t xml:space="preserve">periodically</w:t>
      </w:r>
      <w:r>
        <w:t>))</w:t>
      </w:r>
      <w:r>
        <w:rPr/>
        <w:t xml:space="preserve"> report </w:t>
      </w:r>
      <w:r>
        <w:rPr>
          <w:u w:val="single"/>
        </w:rPr>
        <w:t xml:space="preserve">quarterly</w:t>
      </w:r>
      <w:r>
        <w:rPr/>
        <w:t xml:space="preserve">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u w:val="single"/>
        </w:rPr>
        <w:t xml:space="preserve">(19) $112,000 of the highway safety account</w:t>
      </w:r>
      <w:r>
        <w:rPr>
          <w:rFonts w:ascii="Times New Roman" w:hAnsi="Times New Roman"/>
          <w:u w:val="single"/>
        </w:rPr>
        <w:t xml:space="preserve">—</w:t>
      </w:r>
      <w:r>
        <w:rPr>
          <w:u w:val="single"/>
        </w:rPr>
        <w:t xml:space="preserve">state appropriation and $88,000 of the motor vehicle account</w:t>
      </w:r>
      <w:r>
        <w:rPr>
          <w:rFonts w:ascii="Times New Roman" w:hAnsi="Times New Roman"/>
          <w:u w:val="single"/>
        </w:rPr>
        <w:t xml:space="preserve">—</w:t>
      </w:r>
      <w:r>
        <w:rPr>
          <w:u w:val="single"/>
        </w:rPr>
        <w:t xml:space="preserve">state appropriation are provided solely for the department to make information technology updates and modifications to the driver and vehicle system in order to implement bills that are enacted in the 2018 legislative session.</w:t>
      </w:r>
    </w:p>
    <w:p>
      <w:pPr>
        <w:spacing w:before="0" w:after="0" w:line="408" w:lineRule="exact"/>
        <w:ind w:left="0" w:right="0" w:firstLine="576"/>
        <w:jc w:val="left"/>
      </w:pPr>
      <w:r>
        <w:rPr>
          <w:u w:val="single"/>
        </w:rPr>
        <w:t xml:space="preserve">(20) $500,000 of the abandoned RV account</w:t>
      </w:r>
      <w:r>
        <w:rPr>
          <w:rFonts w:ascii="Times New Roman" w:hAnsi="Times New Roman"/>
          <w:u w:val="single"/>
        </w:rPr>
        <w:t xml:space="preserve">—</w:t>
      </w:r>
      <w:r>
        <w:rPr>
          <w:u w:val="single"/>
        </w:rPr>
        <w:t xml:space="preserve">state appropriation is provided solely for the implementation of chapter . . . (Substitute House Bill No. 2925), Laws of 2018 (abandoned recreational vehicle disposal). If chapter . . . (Substitute House Bill No. 2925), Laws of 2018 is not enacted by June 30, 2018, the amount provided in this subsection lapses.</w:t>
      </w:r>
    </w:p>
    <w:p>
      <w:pPr>
        <w:spacing w:before="0" w:after="0" w:line="408" w:lineRule="exact"/>
        <w:ind w:left="0" w:right="0" w:firstLine="576"/>
        <w:jc w:val="left"/>
      </w:pPr>
      <w:r>
        <w:rPr>
          <w:u w:val="single"/>
        </w:rPr>
        <w:t xml:space="preserve">(21)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$57,137,000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$33,621,000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$87,960,000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$94,021,000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$7,365,000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$35,000 of the aeronautics</w:t>
      </w:r>
      <w:r>
        <w:rPr>
          <w:rFonts w:ascii="Times New Roman" w:hAnsi="Times New Roman"/>
          <w:u w:val="single"/>
        </w:rPr>
        <w:t xml:space="preserve">—</w:t>
      </w:r>
      <w:r>
        <w:rPr>
          <w:u w:val="single"/>
        </w:rPr>
        <w:t xml:space="preserve">state appropriation is provided solely for the implementation of chapter . . . (Substitute House Bill No. 1656), Laws of 2018 (community aviation revitalization loan program). If chapter . . . (Substitute House Bill No. 1656), Laws of 2018 is not enacted by June 30, 2018, the amount provided in this subsection lapses.</w:t>
      </w:r>
    </w:p>
    <w:p>
      <w:pPr>
        <w:spacing w:before="0" w:after="0" w:line="408" w:lineRule="exact"/>
        <w:ind w:left="0" w:right="0" w:firstLine="576"/>
        <w:jc w:val="left"/>
      </w:pPr>
      <w:r>
        <w:rPr>
          <w:u w:val="single"/>
        </w:rPr>
        <w:t xml:space="preserve">(3) $35,000 of the aeronautics</w:t>
      </w:r>
      <w:r>
        <w:rPr>
          <w:rFonts w:ascii="Times New Roman" w:hAnsi="Times New Roman"/>
          <w:u w:val="single"/>
        </w:rPr>
        <w:t xml:space="preserve">—</w:t>
      </w:r>
      <w:r>
        <w:rPr>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$257,000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$100,000 of the motor vehicle account—state appropriation is provided solely for the department to conduct a cost-benefit analysis study of building a northbound lane on state route number 167 north of state route number 18 in the vicinity of the on-ramp at state route number 18 and the exit at 15th Street Northwest. The analysis must include, but is not limited to, the cost of shoulder hardening and restriping and estimated congestion impacts resulting from the additional lane. The analysis must also consider the estimated cost impact of completing the additional lane work in coordination with the SR 167/SR 410 to SR 18 – Congestion Management project (316706C). The department shall issue a report of its findings and recommendations to the transportation committees of the legislature by December 31, 2018.</w:t>
      </w:r>
    </w:p>
    <w:p>
      <w:pPr>
        <w:spacing w:before="0" w:after="0" w:line="408" w:lineRule="exact"/>
        <w:ind w:left="0" w:right="0" w:firstLine="576"/>
        <w:jc w:val="left"/>
      </w:pPr>
      <w:r>
        <w:rPr>
          <w:u w:val="single"/>
        </w:rPr>
        <w:t xml:space="preserve">(4)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(5)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(7)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w:t>
      </w:r>
    </w:p>
    <w:p>
      <w:pPr>
        <w:spacing w:before="0" w:after="0" w:line="408" w:lineRule="exact"/>
        <w:ind w:left="0" w:right="0" w:firstLine="576"/>
        <w:jc w:val="left"/>
      </w:pPr>
      <w:r>
        <w:rPr>
          <w:u w:val="single"/>
        </w:rPr>
        <w:t xml:space="preserve">(8) $550,000 of the motor vehicle account</w:t>
      </w:r>
      <w:r>
        <w:rPr>
          <w:rFonts w:ascii="Times New Roman" w:hAnsi="Times New Roman"/>
          <w:u w:val="single"/>
        </w:rPr>
        <w:t xml:space="preserve">—</w:t>
      </w:r>
      <w:r>
        <w:rPr>
          <w:u w:val="single"/>
        </w:rPr>
        <w:t xml:space="preserve">state appropriation is provided solely for implementation of a corridor study to identify potential improvements between exit 116 and exit 99 of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$74,784,000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$1,913,000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$76,697,000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$101,850,000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$96,772,000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$235,173,000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$24,171,000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$510,734,000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$519,598,000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$346,000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$300,000 of the multimodal transportation account—private/local appropriation and $900,000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$14,063,000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120" w:after="0" w:line="408" w:lineRule="exact"/>
        <w:ind w:left="0" w:right="0" w:firstLine="576"/>
        <w:jc w:val="left"/>
      </w:pPr>
      <w:r>
        <w:rPr>
          <w:u w:val="single"/>
        </w:rPr>
        <w:t xml:space="preserve">The appropriations in the section are subject to the following conditions and limitations: No state moneys may be expended to plan for or construct a roundabout as part of the Spokane Valley Barker/Trent grade separation project provided this restriction does not increase the overall cost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 $3,400,000 of the motor vehicle account—state appropriation is provided solely for design, project management, demolition, bid documents, permits, and other planning activities necessary for the renovation of the facility located at 15700 Dayton Ave N in Shoreline to be ready to proceed. After renovation, the building will be occupied by the department of transportation, department of licensing, and department of ecology. The cost of construction will be shared by these agencies. The department of transportation, department of licensing, and department of ecology must consult with the office of financial management in all phases of the project.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$689,333,000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$69,647,000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$48,330,000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$1,215,024,000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$2,493,805,000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 However, limited transfers of specific line-item project appropriations may occur between projects for those amounts listed subject to the conditions and limitations in </w:t>
      </w:r>
      <w:r>
        <w:rPr>
          <w:u w:val="single"/>
        </w:rPr>
        <w:t xml:space="preserve">subsections (28) and (31) of this section and</w:t>
      </w:r>
      <w:r>
        <w:rPr/>
        <w:t xml:space="preserve">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$361,282,000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$24,843,000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$363,342,000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account</w:t>
      </w:r>
      <w:r>
        <w:rPr>
          <w:rFonts w:ascii="Times New Roman" w:hAnsi="Times New Roman"/>
          <w:u w:val="single"/>
        </w:rPr>
        <w:t xml:space="preserve">—</w:t>
      </w:r>
      <w:r>
        <w:rPr>
          <w:u w:val="single"/>
        </w:rPr>
        <w:t xml:space="preserve">state appropriation includes up to $122,046,000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$69,647,000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$1,500,000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 for</w:t>
      </w:r>
      <w:r>
        <w:t>))</w:t>
      </w:r>
      <w:r>
        <w:rPr/>
        <w:t xml:space="preserve">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(31)(a) Projects funded as part of the 2015 connecting Washington transportation package listed on the LEAP transportation document identified in subsection (1) of this section, and delivered utilizing the design-build method, may be advanced by the department subject to the following conditions:</w:t>
      </w:r>
    </w:p>
    <w:p>
      <w:pPr>
        <w:spacing w:before="0" w:after="0" w:line="408" w:lineRule="exact"/>
        <w:ind w:left="0" w:right="0" w:firstLine="576"/>
        <w:jc w:val="left"/>
      </w:pPr>
      <w:r>
        <w:rPr>
          <w:u w:val="single"/>
        </w:rPr>
        <w:t xml:space="preserve">(i) The department has provided notification of the request to advance the project as provided in (c) of this subsection;</w:t>
      </w:r>
    </w:p>
    <w:p>
      <w:pPr>
        <w:spacing w:before="0" w:after="0" w:line="408" w:lineRule="exact"/>
        <w:ind w:left="0" w:right="0" w:firstLine="576"/>
        <w:jc w:val="left"/>
      </w:pPr>
      <w:r>
        <w:rPr>
          <w:u w:val="single"/>
        </w:rPr>
        <w:t xml:space="preserve">(ii) The design-build project will be delivered in a more efficient or cost effective manner by advancing the timeline identified in the LEAP transportation document identified in subsection (1) of this section; and</w:t>
      </w:r>
    </w:p>
    <w:p>
      <w:pPr>
        <w:spacing w:before="0" w:after="0" w:line="408" w:lineRule="exact"/>
        <w:ind w:left="0" w:right="0" w:firstLine="576"/>
        <w:jc w:val="left"/>
      </w:pPr>
      <w:r>
        <w:rPr>
          <w:u w:val="single"/>
        </w:rPr>
        <w:t xml:space="preserve">(iii) The department has consulted with the office of financial management and the transportation committees of the legislature, and the director of the office of financial management has provided written authorization for the advancement.</w:t>
      </w:r>
    </w:p>
    <w:p>
      <w:pPr>
        <w:spacing w:before="0" w:after="0" w:line="408" w:lineRule="exact"/>
        <w:ind w:left="0" w:right="0" w:firstLine="576"/>
        <w:jc w:val="left"/>
      </w:pPr>
      <w:r>
        <w:rPr>
          <w:u w:val="single"/>
        </w:rPr>
        <w:t xml:space="preserve">(b) For the purpose of advancing projects eligible under (a) of this subsection, the department may apply amounts available from connecting Washington projects with an appropriation that would not otherwise be used for the current fiscal biennium. The advancement of a project may not hinder or delay the delivery of the projects for which reappropriations are necessary for the 2019-2021 fiscal biennium.</w:t>
      </w:r>
    </w:p>
    <w:p>
      <w:pPr>
        <w:spacing w:before="0" w:after="0" w:line="408" w:lineRule="exact"/>
        <w:ind w:left="0" w:right="0" w:firstLine="576"/>
        <w:jc w:val="left"/>
      </w:pPr>
      <w:r>
        <w:rPr>
          <w:u w:val="single"/>
        </w:rPr>
        <w:t xml:space="preserve">(c) At least thirty calendar days before advancing a project, the department must notify the office of financial management and the transportation committees of the legislature of the proposed project advancement. The notification must include the projects being advanced and the projects with unused appropriation authority applied to advance projects pursuant to (b) of this subsection. The notification must also provide the rationale for timing changes for each advanced project and for each project with an appropriation that would not otherwise be used for the current fiscal biennium.</w:t>
      </w:r>
    </w:p>
    <w:p>
      <w:pPr>
        <w:spacing w:before="0" w:after="0" w:line="408" w:lineRule="exact"/>
        <w:ind w:left="0" w:right="0" w:firstLine="576"/>
        <w:jc w:val="left"/>
      </w:pPr>
      <w:r>
        <w:rPr>
          <w:u w:val="single"/>
        </w:rPr>
        <w:t xml:space="preserve">(32) Proceeds from the sale of any surplus real property acquired for the purpose of building the SR 167/SR 509 Puget Sound Gateway (M00600R) project must be deposited into the motor vehicle account for the purpose of constructing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$204,656,000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$56,991,000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$28,847,000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$3,786,000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$12,781,000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$73,574,000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$139,328,000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$454,956,000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$46,895,000</w:t>
      </w:r>
      <w:r>
        <w:rPr/>
        <w:t xml:space="preserve"> of the connecting Washington account</w:t>
      </w:r>
      <w:r>
        <w:rPr>
          <w:rFonts w:ascii="Times New Roman" w:hAnsi="Times New Roman"/>
        </w:rPr>
        <w:t xml:space="preserve">—</w:t>
      </w:r>
      <w:r>
        <w:rPr/>
        <w:t xml:space="preserve">state appropriation</w:t>
      </w:r>
      <w:r>
        <w:rPr>
          <w:u w:val="single"/>
        </w:rPr>
        <w:t xml:space="preserve">, and $733,000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$2,811,000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$77,707,000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$145,941,000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w:t>
      </w:r>
      <w:r>
        <w:rPr>
          <w:u w:val="single"/>
        </w:rPr>
        <w:t xml:space="preserve">47.76.280,</w:t>
      </w:r>
      <w:r>
        <w:rPr/>
        <w:t xml:space="preserve"> 47.76.290</w:t>
      </w:r>
      <w:r>
        <w:rPr>
          <w:u w:val="single"/>
        </w:rPr>
        <w:t xml:space="preserve">, 47.76.300, 47.76.310, and 47.76.320</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$3,800,000 of the multimodal transportation account</w:t>
      </w:r>
      <w:r>
        <w:rPr>
          <w:rFonts w:ascii="Times New Roman" w:hAnsi="Times New Roman"/>
          <w:u w:val="single"/>
        </w:rPr>
        <w:t xml:space="preserve">—</w:t>
      </w:r>
      <w:r>
        <w:rPr>
          <w:u w:val="single"/>
        </w:rPr>
        <w:t xml:space="preserve">state appropriation is provided solely for track improvements on the state-owned PV Hooper branch of the Palouse river and Coulee City railway between Hooper Junction and Endicott.</w:t>
      </w:r>
    </w:p>
    <w:p>
      <w:pPr>
        <w:spacing w:before="0" w:after="0" w:line="408" w:lineRule="exact"/>
        <w:ind w:left="0" w:right="0" w:firstLine="576"/>
        <w:jc w:val="left"/>
      </w:pPr>
      <w:r>
        <w:rPr>
          <w:u w:val="single"/>
        </w:rPr>
        <w:t xml:space="preserve">(10) $2,500,000 of the multimodal transportation account</w:t>
      </w:r>
      <w:r>
        <w:rPr>
          <w:rFonts w:ascii="Times New Roman" w:hAnsi="Times New Roman"/>
          <w:u w:val="single"/>
        </w:rPr>
        <w:t xml:space="preserve">—</w:t>
      </w:r>
      <w:r>
        <w:rPr>
          <w:u w:val="single"/>
        </w:rPr>
        <w:t xml:space="preserve">state appropriation is provided solely for construction of a new bridge 12 (Salmon Creek) and replacement track on the Chelatchie Prairie railroad shortline at mile post 12.45 in Clark county to complete a design and permitting project originally funded in the 2016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$23,734,000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$79,182,000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$338,096,000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Local Programs Program (Z)</w:t>
      </w:r>
      <w:r>
        <w:rPr>
          <w:u w:val="single"/>
        </w:rPr>
        <w:t xml:space="preserve">; and $305,000 for preliminary engineering of the state route number 547 pedestrian and bicycle safety trail in Kendall</w:t>
      </w:r>
      <w:r>
        <w:rPr/>
        <w:t xml:space="preserve">.</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r>
        <w:rPr>
          <w:u w:val="single"/>
        </w:rPr>
        <w:t xml:space="preserve">, subject to the following conditions and limitations: No state moneys may be expended to plan for or construct a roundabout as part of the Spokane Valley Barker/Trent grade separation project provided this restriction does not increase the overall cost of the project</w:t>
      </w:r>
      <w:r>
        <w:rPr/>
        <w:t xml:space="preserve">.</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$300,000 of the motor vehicle account</w:t>
      </w:r>
      <w:r>
        <w:rPr>
          <w:rFonts w:ascii="Times New Roman" w:hAnsi="Times New Roman"/>
          <w:u w:val="single"/>
        </w:rPr>
        <w:t xml:space="preserve">—</w:t>
      </w:r>
      <w:r>
        <w:rPr>
          <w:u w:val="single"/>
        </w:rPr>
        <w:t xml:space="preserve">state appropriation is provided solely for emergency repair work, design work, and slope stabilization on Prevedal road in the town of Lyman.</w:t>
      </w:r>
    </w:p>
    <w:p>
      <w:pPr>
        <w:spacing w:before="0" w:after="0" w:line="408" w:lineRule="exact"/>
        <w:ind w:left="0" w:right="0" w:firstLine="576"/>
        <w:jc w:val="left"/>
      </w:pPr>
      <w:r>
        <w:rPr>
          <w:u w:val="single"/>
        </w:rPr>
        <w:t xml:space="preserve">(12) $100,000 of the multimodal transportation account—state appropriation is provided solely for the development of a master plan for the Aubrey Davis park in the city of Mercer Island. The department shall provide in-kind services at no charge to the city of Mercer Island for department work on the master plan.</w:t>
      </w:r>
    </w:p>
    <w:p>
      <w:pPr>
        <w:spacing w:before="0" w:after="0" w:line="408" w:lineRule="exact"/>
        <w:ind w:left="0" w:right="0" w:firstLine="576"/>
        <w:jc w:val="left"/>
      </w:pPr>
      <w:r>
        <w:rPr>
          <w:u w:val="single"/>
        </w:rPr>
        <w:t xml:space="preserve">(13) The department must submit a report with its 2019-2021 biennial budget submittal to the governor and transportation committees of the legislature on project services provided to local agencies that receive project funding through the local programs capital budget. The report must include, but is not limited to, a description of project services provided by the department to local agencies for which there is a charge, estimates of charges per project service, and an accounting of expenditures charged to local agencies during the previous four fiscal years.</w:t>
      </w:r>
    </w:p>
    <w:p>
      <w:pPr>
        <w:spacing w:before="0" w:after="0" w:line="408" w:lineRule="exact"/>
        <w:ind w:left="0" w:right="0" w:firstLine="576"/>
        <w:jc w:val="left"/>
      </w:pPr>
      <w:r>
        <w:rPr>
          <w:u w:val="single"/>
        </w:rPr>
        <w:t xml:space="preserve">(14) $800,000 of the motor vehicle account</w:t>
      </w:r>
      <w:r>
        <w:rPr>
          <w:rFonts w:ascii="Times New Roman" w:hAnsi="Times New Roman"/>
          <w:u w:val="single"/>
        </w:rPr>
        <w:t xml:space="preserve">—</w:t>
      </w:r>
      <w:r>
        <w:rPr>
          <w:u w:val="single"/>
        </w:rPr>
        <w:t xml:space="preserve">state appropriation is provided solely for design and construction of the Redmond Ridge NE and NE Alder Crest Drive roundabout.</w:t>
      </w:r>
    </w:p>
    <w:p>
      <w:pPr>
        <w:spacing w:before="0" w:after="0" w:line="408" w:lineRule="exact"/>
        <w:ind w:left="0" w:right="0" w:firstLine="576"/>
        <w:jc w:val="left"/>
      </w:pPr>
      <w:r>
        <w:rPr>
          <w:u w:val="single"/>
        </w:rPr>
        <w:t xml:space="preserve">(15) $1,000,000 of the motor vehicle account</w:t>
      </w:r>
      <w:r>
        <w:rPr>
          <w:rFonts w:ascii="Times New Roman" w:hAnsi="Times New Roman"/>
          <w:u w:val="single"/>
        </w:rPr>
        <w:t xml:space="preserve">—</w:t>
      </w:r>
      <w:r>
        <w:rPr>
          <w:u w:val="single"/>
        </w:rPr>
        <w:t xml:space="preserve">state appropriation is provided solely for completion of the Alder street/Olympic highway north project in Shelton.</w:t>
      </w:r>
    </w:p>
    <w:p>
      <w:pPr>
        <w:spacing w:before="0" w:after="0" w:line="408" w:lineRule="exact"/>
        <w:ind w:left="0" w:right="0" w:firstLine="576"/>
        <w:jc w:val="left"/>
      </w:pPr>
      <w:r>
        <w:rPr>
          <w:u w:val="single"/>
        </w:rPr>
        <w:t xml:space="preserve">(16) $3,000,000 of the motor vehicle account</w:t>
      </w:r>
      <w:r>
        <w:rPr>
          <w:rFonts w:ascii="Times New Roman" w:hAnsi="Times New Roman"/>
          <w:u w:val="single"/>
        </w:rPr>
        <w:t xml:space="preserve">—</w:t>
      </w:r>
      <w:r>
        <w:rPr>
          <w:u w:val="single"/>
        </w:rPr>
        <w:t xml:space="preserve">state appropriation is provided solely for seismic retrofit work and painting of the Bronson way bridge in Renton.</w:t>
      </w:r>
    </w:p>
    <w:p>
      <w:pPr>
        <w:spacing w:before="0" w:after="0" w:line="408" w:lineRule="exact"/>
        <w:ind w:left="0" w:right="0" w:firstLine="576"/>
        <w:jc w:val="left"/>
      </w:pPr>
      <w:r>
        <w:rPr>
          <w:u w:val="single"/>
        </w:rPr>
        <w:t xml:space="preserve">(17) $350,000 of the motor vehicle account</w:t>
      </w:r>
      <w:r>
        <w:rPr>
          <w:rFonts w:ascii="Times New Roman" w:hAnsi="Times New Roman"/>
          <w:u w:val="single"/>
        </w:rPr>
        <w:t xml:space="preserve">—</w:t>
      </w:r>
      <w:r>
        <w:rPr>
          <w:u w:val="single"/>
        </w:rPr>
        <w:t xml:space="preserve">state appropriation is provided solely for protective barriers on the 8th street bridges in Port Angeles.</w:t>
      </w:r>
    </w:p>
    <w:p>
      <w:pPr>
        <w:spacing w:before="0" w:after="0" w:line="408" w:lineRule="exact"/>
        <w:ind w:left="0" w:right="0" w:firstLine="576"/>
        <w:jc w:val="left"/>
      </w:pPr>
      <w:r>
        <w:rPr>
          <w:u w:val="single"/>
        </w:rPr>
        <w:t xml:space="preserve">(18) $360,000 of the motor vehicle account</w:t>
      </w:r>
      <w:r>
        <w:rPr>
          <w:rFonts w:ascii="Times New Roman" w:hAnsi="Times New Roman"/>
          <w:u w:val="single"/>
        </w:rPr>
        <w:t xml:space="preserve">—</w:t>
      </w:r>
      <w:r>
        <w:rPr>
          <w:u w:val="single"/>
        </w:rPr>
        <w:t xml:space="preserve">state appropriation is provided solely for preliminary engineering of phase II of the Main street revitalization project in Mountlake Terrace.</w:t>
      </w:r>
    </w:p>
    <w:p>
      <w:pPr>
        <w:spacing w:before="0" w:after="0" w:line="408" w:lineRule="exact"/>
        <w:ind w:left="0" w:right="0" w:firstLine="576"/>
        <w:jc w:val="left"/>
      </w:pPr>
      <w:r>
        <w:rPr>
          <w:u w:val="single"/>
        </w:rPr>
        <w:t xml:space="preserve">(19) $1,200,000 of the multimodal transportation account—state appropriation is provided solely to relocate and rebuild a 2,100-foot section of the Interurban trail and trailhead in Fife.</w:t>
      </w:r>
    </w:p>
    <w:p>
      <w:pPr>
        <w:spacing w:before="0" w:after="0" w:line="408" w:lineRule="exact"/>
        <w:ind w:left="0" w:right="0" w:firstLine="576"/>
        <w:jc w:val="left"/>
      </w:pPr>
      <w:r>
        <w:rPr>
          <w:u w:val="single"/>
        </w:rPr>
        <w:t xml:space="preserve">(20) $3,000,000 of the motor vehicle account</w:t>
      </w:r>
      <w:r>
        <w:rPr>
          <w:rFonts w:ascii="Times New Roman" w:hAnsi="Times New Roman"/>
          <w:u w:val="single"/>
        </w:rPr>
        <w:t xml:space="preserve">—</w:t>
      </w:r>
      <w:r>
        <w:rPr>
          <w:u w:val="single"/>
        </w:rPr>
        <w:t xml:space="preserve">state appropriation is provided solely for construction of a roundabout on Willis street at 4th avenue south in Kent.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$1,806,000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$1,218,962,000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$177,000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$1,378,773,000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$39,000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$21,221,000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$56,464,000</w:t>
      </w:r>
      <w:r>
        <w:t>))</w:t>
      </w:r>
    </w:p>
    <w:p>
      <w:pPr>
        <w:spacing w:before="0" w:after="0" w:line="408" w:lineRule="exact"/>
        <w:ind w:left="0" w:right="0" w:firstLine="0"/>
        <w:jc w:val="left"/>
        <w:tabs>
          <w:tab w:val="right" w:leader="none" w:pos="9936"/>
        </w:tabs>
      </w:pPr>
      <w:r>
        <w:tab/>
      </w:r>
      <w:r>
        <w:rPr>
          <w:u w:val="single"/>
        </w:rPr>
        <w:t xml:space="preserve">$6,211,000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$36,000,000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 </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 </w:t>
      </w:r>
      <w:r>
        <w:rPr>
          <w:u w:val="single"/>
        </w:rPr>
        <w:t xml:space="preserve">During the 2017-2019 fiscal biennium, solely for the implementation of chapter . . . (Substitute House Bill No. 2983), Laws of 2018 (marine pilotage tariffs), the legislature may direct the state treasurer to make transfers of money from this account to the public service revolving account for the utilities and transportation commission's use in developing a marine pilotage tariff rate-setting process and in performing rate-setting activities.</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fb8005188c4b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ac2a17c684e89" /><Relationship Type="http://schemas.openxmlformats.org/officeDocument/2006/relationships/footer" Target="/word/footer.xml" Id="Rb7fb8005188c4b6e" /></Relationships>
</file>