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47b803db3a4930" /></Relationships>
</file>

<file path=word/document.xml><?xml version="1.0" encoding="utf-8"?>
<w:document xmlns:w="http://schemas.openxmlformats.org/wordprocessingml/2006/main">
  <w:body>
    <w:p>
      <w:r>
        <w:t>H-4481.1</w:t>
      </w:r>
    </w:p>
    <w:p>
      <w:pPr>
        <w:jc w:val="center"/>
      </w:pPr>
      <w:r>
        <w:t>_______________________________________________</w:t>
      </w:r>
    </w:p>
    <w:p/>
    <w:p>
      <w:pPr>
        <w:jc w:val="center"/>
      </w:pPr>
      <w:r>
        <w:rPr>
          <w:b/>
        </w:rPr>
        <w:t>SUBSTITUTE HOUSE BILL 2489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Rodne, Harris, Caldier, Macri, Robinson, Jinkins, Muri, Kagi, McBride, Wylie, Peterson, Slatter, Hayes, Sawyer, Pollet, Doglio, Kloba, Tharinger, Ormsby, Johnson, and Kilduff; by request of Governor Inslee)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use disorder treatment, prevention, and related services; amending RCW 71.24.585, 71.24.595, 71.24.560, 71.24.011, 69.41.095, 71.24.585, 71.24.595, 70.225.010, 70.225.040, 70.168.090, and 70.41.480; amending 2005 c 70 s 1 (uncodified); reenacting and amending RCW 70.225.020; adding new sections to chapter 71.24 RCW; adding a new section to chapter 70.225 RCW; adding a new section to chapter 74.09 RCW; adding a new section to chapter 18.64 RCW; adding a new section to chapter 69.50 RCW; adding new sections to chapter 43.70 RCW; adding a new section to chapter 18.22 RCW; adding a new section to chapter 18.32 RCW; adding a new section to chapter 18.57 RCW; adding a new section to chapter 18.57A RCW; adding a new section to chapter 18.71 RCW; adding a new section to chapter 18.71A RCW; adding a new section to chapter 18.79 RCW; creating a new section; and providing contingent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 and keep people in treatment</w:t>
      </w:r>
      <w:r>
        <w:rPr/>
        <w:t xml:space="preserve">. The state of Washington recognizes </w:t>
      </w:r>
      <w:r>
        <w:rPr>
          <w:u w:val="single"/>
        </w:rPr>
        <w:t xml:space="preserve">medications approved by the federal food and drug administration</w:t>
      </w:r>
      <w:r>
        <w:rPr/>
        <w:t xml:space="preserve"> as </w:t>
      </w:r>
      <w:r>
        <w:t>((</w:t>
      </w:r>
      <w:r>
        <w:rPr>
          <w:strike/>
        </w:rPr>
        <w:t xml:space="preserve">evidence-based for the management of opioid use disorder the medications approved by the federal food and drug administration for the</w:t>
      </w:r>
      <w:r>
        <w:t>))</w:t>
      </w:r>
      <w:r>
        <w:rPr/>
        <w:t xml:space="preserve"> </w:t>
      </w:r>
      <w:r>
        <w:rPr>
          <w:u w:val="single"/>
        </w:rPr>
        <w:t xml:space="preserve">an integral component of</w:t>
      </w:r>
      <w:r>
        <w:rPr/>
        <w:t xml:space="preserve"> treatment </w:t>
      </w:r>
      <w:r>
        <w:t>((</w:t>
      </w:r>
      <w:r>
        <w:rPr>
          <w:strike/>
        </w:rPr>
        <w:t xml:space="preserve">of</w:t>
      </w:r>
      <w:r>
        <w:t>))</w:t>
      </w:r>
      <w:r>
        <w:rPr/>
        <w:t xml:space="preserve"> </w:t>
      </w:r>
      <w:r>
        <w:rPr>
          <w:u w:val="single"/>
        </w:rPr>
        <w:t xml:space="preserve">for</w:t>
      </w:r>
      <w:r>
        <w:rPr/>
        <w:t xml:space="preserve">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While medication has been shown to be the treatment of choice for persons with opioid use disorder, many individuals will also benefit from counseling and social supports.</w:t>
      </w:r>
      <w:r>
        <w:rPr/>
        <w:t xml:space="preserve"> Providers must inform patients of all </w:t>
      </w:r>
      <w:r>
        <w:rPr>
          <w:u w:val="single"/>
        </w:rPr>
        <w:t xml:space="preserve">evidence-based</w:t>
      </w:r>
      <w:r>
        <w:rPr/>
        <w:t xml:space="preserve"> treatment options available.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department will promote the use of medication therapies and other evidence-based strategies to address the opioid epidemic in Washington state. Additionally, the department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medications for opioid use disorder while engaging in services; and</w:t>
      </w:r>
    </w:p>
    <w:p>
      <w:pPr>
        <w:spacing w:before="0" w:after="0" w:line="408" w:lineRule="exact"/>
        <w:ind w:left="0" w:right="0" w:firstLine="576"/>
        <w:jc w:val="left"/>
      </w:pPr>
      <w:r>
        <w:rPr>
          <w:u w:val="single"/>
        </w:rPr>
        <w:t xml:space="preserve">(b) Entities which allow patients to start on medications for opioid use disorder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health care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health care authority shall partner with the department of social and health services, the department of corrections, the department of health,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department shall replicate effective approaches such as opioid hub and spoke treatment networks to broaden outreach and patient navigation with allied opioid use disorder community partners, including but not limited to: Federally accredited opioid treatment programs,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department shall work with the department of health and the health care authority to promote coordination between medication-assisted treatment prescribers, federally accredited opioid treatment programs,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health care authority shall partner with the department and other state agencies to create a program to connect certified peer counselors with individuals who have had a nonfatal overdose within forty-eight hours of the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department shall work with the department of health and the health care authority and its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department shall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department shall work with the department of health, the health care authority,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work with the department of health, the health care authority,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opioid treatment program clinicians, and medication-assisted treatment prescribers. The teams shall set goals around continued access to medication therapy for patients once the emergency is stabilized.</w:t>
      </w:r>
    </w:p>
    <w:p>
      <w:pPr>
        <w:spacing w:before="0" w:after="0" w:line="408" w:lineRule="exact"/>
        <w:ind w:left="0" w:right="0" w:firstLine="576"/>
        <w:jc w:val="left"/>
      </w:pPr>
      <w:r>
        <w:rPr/>
        <w:t xml:space="preserve">(2) The department shall work with the department of health and the health care authority to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women who are pregnant are required to disseminate up-to-date and accurate health education information to all their pregnant clients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clients must also be advised of the risks to both them and their baby associated with not remaining </w:t>
      </w:r>
      <w:r>
        <w:t>((</w:t>
      </w:r>
      <w:r>
        <w:rPr>
          <w:strike/>
        </w:rPr>
        <w:t xml:space="preserve">on the</w:t>
      </w:r>
      <w:r>
        <w:t>))</w:t>
      </w:r>
      <w:r>
        <w:rPr/>
        <w:t xml:space="preserve"> </w:t>
      </w:r>
      <w:r>
        <w:rPr>
          <w:u w:val="single"/>
        </w:rPr>
        <w:t xml:space="preserve">in an</w:t>
      </w:r>
      <w:r>
        <w:rPr/>
        <w:t xml:space="preserve"> opioid treatment program. The information must be provided to these clients both verbally and in writing. The health education information provided to the pregnant clients must include referral options for the substance-exposed baby.</w:t>
      </w:r>
    </w:p>
    <w:p>
      <w:pPr>
        <w:spacing w:before="0" w:after="0" w:line="408" w:lineRule="exact"/>
        <w:ind w:left="0" w:right="0" w:firstLine="576"/>
        <w:jc w:val="left"/>
      </w:pPr>
      <w:r>
        <w:rPr/>
        <w:t xml:space="preserve">(2) The department shall adopt rules that require all opioid treatment programs to educate all pregnant women in their program on the benefits and risks of medication-assisted treatment to their fetus before they are provided these medications, as part of their treatment. </w:t>
      </w:r>
      <w:r>
        <w:rPr>
          <w:u w:val="single"/>
        </w:rPr>
        <w:t xml:space="preserve">The department shall also adopt rules that require all opioid treatment programs to educate women who become pregnant about the risks to both the mother and their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women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p>
    <w:p>
      <w:pPr>
        <w:spacing w:before="0" w:after="0" w:line="408" w:lineRule="exact"/>
        <w:ind w:left="0" w:right="0" w:firstLine="576"/>
        <w:jc w:val="left"/>
      </w:pPr>
      <w:r>
        <w:rPr/>
        <w:t xml:space="preserve">It is the intent of the legislature to notify all pregnant mothers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taken care of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his or her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develop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 and keep people in treatment</w:t>
      </w:r>
      <w:r>
        <w:rPr/>
        <w:t xml:space="preserve">. The state of Washington recognizes </w:t>
      </w:r>
      <w:r>
        <w:rPr>
          <w:u w:val="single"/>
        </w:rPr>
        <w:t xml:space="preserve">medications approved by the federal food and drug administration</w:t>
      </w:r>
      <w:r>
        <w:rPr/>
        <w:t xml:space="preserve"> as </w:t>
      </w:r>
      <w:r>
        <w:t>((</w:t>
      </w:r>
      <w:r>
        <w:rPr>
          <w:strike/>
        </w:rPr>
        <w:t xml:space="preserve">evidence-based for the management of opioid use disorder the medications approved by the federal food and drug administration for the</w:t>
      </w:r>
      <w:r>
        <w:t>))</w:t>
      </w:r>
      <w:r>
        <w:rPr/>
        <w:t xml:space="preserve"> </w:t>
      </w:r>
      <w:r>
        <w:rPr>
          <w:u w:val="single"/>
        </w:rPr>
        <w:t xml:space="preserve">an integral component of</w:t>
      </w:r>
      <w:r>
        <w:rPr/>
        <w:t xml:space="preserve"> treatment </w:t>
      </w:r>
      <w:r>
        <w:t>((</w:t>
      </w:r>
      <w:r>
        <w:rPr>
          <w:strike/>
        </w:rPr>
        <w:t xml:space="preserve">of</w:t>
      </w:r>
      <w:r>
        <w:t>))</w:t>
      </w:r>
      <w:r>
        <w:rPr/>
        <w:t xml:space="preserve"> </w:t>
      </w:r>
      <w:r>
        <w:rPr>
          <w:u w:val="single"/>
        </w:rPr>
        <w:t xml:space="preserve">for</w:t>
      </w:r>
      <w:r>
        <w:rPr/>
        <w:t xml:space="preserve">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While medication has been shown to be the treatment of choice for persons with opioid use disorder, many individuals will also benefit from counseling and social supports.</w:t>
      </w:r>
      <w:r>
        <w:rPr/>
        <w:t xml:space="preserve"> Providers must inform patients of all </w:t>
      </w:r>
      <w:r>
        <w:rPr>
          <w:u w:val="single"/>
        </w:rPr>
        <w:t xml:space="preserve">evidence-based</w:t>
      </w:r>
      <w:r>
        <w:rPr/>
        <w:t xml:space="preserve"> treatment options available.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authority will promote the use of medication therapies and other evidence-based strategies to address the opioid epidemic in Washington state. Additionally, the authority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medications for opioid use disorder while engaging in services; and</w:t>
      </w:r>
    </w:p>
    <w:p>
      <w:pPr>
        <w:spacing w:before="0" w:after="0" w:line="408" w:lineRule="exact"/>
        <w:ind w:left="0" w:right="0" w:firstLine="576"/>
        <w:jc w:val="left"/>
      </w:pPr>
      <w:r>
        <w:rPr>
          <w:u w:val="single"/>
        </w:rPr>
        <w:t xml:space="preserve">(b) Entities which allow patients to start on medications for opioid use disorder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shall partner with the department of social and health services, the department of corrections, the department of health,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replicate effective approaches such as opioid hub and spoke treatment networks to broaden outreach and patient navigation with allied opioid use disorder community partners, including but not limited to: Federally accredited opioid treatment programs,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shall partner with the department of social and health services and other state agencies to create a program to connect certified peer counselors with individuals who have had a nonfatal overdose within forty-eight hours of the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shall work with the department of health and the authority's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authority shall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authority shall work with the department of health,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work with the department of health,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opioid treatment program clinicians, and medication-assisted treatment prescribers. The teams shall set goals around continued access to medication therapy for patients once the emergency is stabilized.</w:t>
      </w:r>
    </w:p>
    <w:p>
      <w:pPr>
        <w:spacing w:before="0" w:after="0" w:line="408" w:lineRule="exact"/>
        <w:ind w:left="0" w:right="0" w:firstLine="576"/>
        <w:jc w:val="left"/>
      </w:pPr>
      <w:r>
        <w:rPr/>
        <w:t xml:space="preserve">(2) The authority shall work with the department of health to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chapter 70.02 RCW and federal health care information privacy requirements </w:t>
      </w:r>
      <w:r>
        <w:t>((</w:t>
      </w:r>
      <w:r>
        <w:rPr>
          <w:strike/>
        </w:rPr>
        <w:t xml:space="preserve">and not subject to disclosure</w:t>
      </w:r>
      <w:r>
        <w:t>))</w:t>
      </w:r>
      <w:r>
        <w:rPr/>
        <w:t xml:space="preserve">, except as provided in subsections (3), (4), and (5) of this section. </w:t>
      </w:r>
      <w:r>
        <w:rPr>
          <w:u w:val="single"/>
        </w:rPr>
        <w:t xml:space="preserve">Such confidentiality and exemption from disclosure continues whenever information from the prescription monitoring program is provided to a requestor under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 (4), and (5)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the director's designee within the health care authority regarding medicaid clients </w:t>
      </w:r>
      <w:r>
        <w:rPr>
          <w:u w:val="single"/>
        </w:rPr>
        <w:t xml:space="preserve">and members of the health care authority self-funded or self-insured health plans</w:t>
      </w:r>
      <w:r>
        <w:rPr/>
        <w:t xml:space="preserve">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t xml:space="preserve">(g) The director or director's designee within the department of labor and industries regarding workers' compensation claimants;</w:t>
      </w:r>
    </w:p>
    <w:p>
      <w:pPr>
        <w:spacing w:before="0" w:after="0" w:line="408" w:lineRule="exact"/>
        <w:ind w:left="0" w:right="0" w:firstLine="576"/>
        <w:jc w:val="left"/>
      </w:pPr>
      <w:r>
        <w:rPr/>
        <w:t xml:space="preserve">(h)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(i) Other entities under grand jury subpoena or court order;</w:t>
      </w:r>
    </w:p>
    <w:p>
      <w:pPr>
        <w:spacing w:before="0" w:after="0" w:line="408" w:lineRule="exact"/>
        <w:ind w:left="0" w:right="0" w:firstLine="576"/>
        <w:jc w:val="left"/>
      </w:pPr>
      <w:r>
        <w:rPr/>
        <w:t xml:space="preserve">(j) Personnel of the department for purposes of:</w:t>
      </w:r>
    </w:p>
    <w:p>
      <w:pPr>
        <w:spacing w:before="0" w:after="0" w:line="408" w:lineRule="exact"/>
        <w:ind w:left="0" w:right="0" w:firstLine="576"/>
        <w:jc w:val="left"/>
      </w:pPr>
      <w:r>
        <w:rPr/>
        <w:t xml:space="preserve">(i) Assessing prescribing practices, including controlled substances related to mortality and morbidity;</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(k)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(l) A health care facility or entity for the purpose of providing medical or pharmaceutical care to the patients of the facility or entity, or for quality improvement purposes if:</w:t>
      </w:r>
    </w:p>
    <w:p>
      <w:pPr>
        <w:spacing w:before="0" w:after="0" w:line="408" w:lineRule="exact"/>
        <w:ind w:left="0" w:right="0" w:firstLine="576"/>
        <w:jc w:val="left"/>
      </w:pPr>
      <w:r>
        <w:rPr/>
        <w:t xml:space="preserve">(i) The facility or entity is licensed by the department </w:t>
      </w:r>
      <w:r>
        <w:rPr>
          <w:u w:val="single"/>
        </w:rPr>
        <w:t xml:space="preserve">or is licensed or certified under chapter 71.24, 71.34, 71.05, or 70.96A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and</w:t>
      </w:r>
    </w:p>
    <w:p>
      <w:pPr>
        <w:spacing w:before="0" w:after="0" w:line="408" w:lineRule="exact"/>
        <w:ind w:left="0" w:right="0" w:firstLine="576"/>
        <w:jc w:val="left"/>
      </w:pPr>
      <w:r>
        <w:rPr/>
        <w:t xml:space="preserve">(ii) The facility or entity is a trading partner with the state's health information exchange;</w:t>
      </w:r>
    </w:p>
    <w:p>
      <w:pPr>
        <w:spacing w:before="0" w:after="0" w:line="408" w:lineRule="exact"/>
        <w:ind w:left="0" w:right="0" w:firstLine="576"/>
        <w:jc w:val="left"/>
      </w:pPr>
      <w:r>
        <w:rPr/>
        <w:t xml:space="preserve">(m)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p>
    <w:p>
      <w:pPr>
        <w:spacing w:before="0" w:after="0" w:line="408" w:lineRule="exact"/>
        <w:ind w:left="0" w:right="0" w:firstLine="576"/>
        <w:jc w:val="left"/>
      </w:pPr>
      <w:r>
        <w:rPr/>
        <w:t xml:space="preserve">(i) All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and</w:t>
      </w:r>
    </w:p>
    <w:p>
      <w:pPr>
        <w:spacing w:before="0" w:after="0" w:line="408" w:lineRule="exact"/>
        <w:ind w:left="0" w:right="0" w:firstLine="576"/>
        <w:jc w:val="left"/>
      </w:pPr>
      <w:r>
        <w:rPr/>
        <w:t xml:space="preserve">(ii) The provider group is a trading partner with the state's health information exchange;</w:t>
      </w:r>
    </w:p>
    <w:p>
      <w:pPr>
        <w:spacing w:before="0" w:after="0" w:line="408" w:lineRule="exact"/>
        <w:ind w:left="0" w:right="0" w:firstLine="576"/>
        <w:jc w:val="left"/>
      </w:pPr>
      <w:r>
        <w:rPr/>
        <w:t xml:space="preserve">(n)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t xml:space="preserve">(o)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(3)(l) of this section or a provider group identified under subsection (3)(m)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rPr/>
        <w:t xml:space="preserve">(6) Persons authorized in subsections (3), (4), and (5)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 Each dispenser shall submit the information in accordance with transmission methods established by the department</w:t>
      </w:r>
      <w:r>
        <w:rPr>
          <w:u w:val="single"/>
        </w:rPr>
        <w:t xml:space="preserve">, not later than one business day from the date of dispensing</w:t>
      </w:r>
      <w:r>
        <w:rPr/>
        <w:t xml:space="preserve">.</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A vendor that sells a federally certified electronic health records system for use in the state of Washington must ensure their system can integrate with the prescription monitoring program utilizing the state health information exchange by December 1, 2018. The vendor may not charge an ongoing fee or a fee based on the number of transactions or providers using such integration by one of their customers, and total costs of connection must not impose an unreasonable burden on the provider utilizing the electronic health record. For the purposes of this section, "fully integrate" means that the electronic health record system must:</w:t>
      </w:r>
    </w:p>
    <w:p>
      <w:pPr>
        <w:spacing w:before="0" w:after="0" w:line="408" w:lineRule="exact"/>
        <w:ind w:left="0" w:right="0" w:firstLine="576"/>
        <w:jc w:val="left"/>
      </w:pPr>
      <w:r>
        <w:rPr/>
        <w:t xml:space="preserve">(a) Send information to the prescription monitoring program without physician intervention using one of the standard transmission and content standards supported by the state health information exchange for all controlled substances;</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21st century cures act, P.L. 114-255.</w:t>
      </w:r>
    </w:p>
    <w:p>
      <w:pPr>
        <w:spacing w:before="0" w:after="0" w:line="408" w:lineRule="exact"/>
        <w:ind w:left="0" w:right="0" w:firstLine="576"/>
        <w:jc w:val="left"/>
      </w:pPr>
      <w:r>
        <w:rPr/>
        <w:t xml:space="preserve">(2) A facility or entity identified in RCW 70.225.040(3)(l) or provider group identified in RCW 70.225.040(3)(m) must demonstrate that the facility's or entity's federally certified electronic health record is able to use the state health information exchange to fully integrate data to and from the prescription monitoring program, confirmed by the state health information exchange by:</w:t>
      </w:r>
    </w:p>
    <w:p>
      <w:pPr>
        <w:spacing w:before="0" w:after="0" w:line="408" w:lineRule="exact"/>
        <w:ind w:left="0" w:right="0" w:firstLine="576"/>
        <w:jc w:val="left"/>
      </w:pPr>
      <w:r>
        <w:rPr/>
        <w:t xml:space="preserve">(a) January 1, 2019, if their federally certified electronic health records system vendor is able to comply with subsection (1) of this section by December 1, 2018; or</w:t>
      </w:r>
    </w:p>
    <w:p>
      <w:pPr>
        <w:spacing w:before="0" w:after="0" w:line="408" w:lineRule="exact"/>
        <w:ind w:left="0" w:right="0" w:firstLine="576"/>
        <w:jc w:val="left"/>
      </w:pPr>
      <w:r>
        <w:rPr/>
        <w:t xml:space="preserve">(b) January 1, 2020, if their federally certified electronic health records system vendor is not able to comply with subsection (1) of this section by December 1, 2018.</w:t>
      </w:r>
    </w:p>
    <w:p>
      <w:pPr>
        <w:spacing w:before="0" w:after="0" w:line="408" w:lineRule="exact"/>
        <w:ind w:left="0" w:right="0" w:firstLine="576"/>
        <w:jc w:val="left"/>
      </w:pPr>
      <w:r>
        <w:rPr/>
        <w:t xml:space="preserve">(3) A facility, entity, or provider group required to fully integrate its electronic health records with data to and from the prescription monitoring program under this section shall provide annual progress reports to the department and the health care authority beginning January 1, 2019. The requirement to provide annual reports ends when integration is complete as confirmed by the state health information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By July 1, 2019, the department shall establish a statewide electronic emergency medical services data system and adopt rules requiring that every licensed ambulance and aid service report and furnish patient encounter data to the electronic emergency medical services data system managed by the department. The data system must be used to improve the availability and delivery of prehospital emergency medical services. Specific data elements of the data system and secure transport method, such as the state health information exchange, shall be defined by rule by the department, and must include data on fatal and nonfatal overdoses or drug poisoning.</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 In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October 2018, the health care authority shall develop and recommend for coverage nonpharmacologic treatments for chronic noncancer pain and shall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chronic, acute, and subacute conditions for which nonpharmacologic treatments will be covered;</w:t>
      </w:r>
    </w:p>
    <w:p>
      <w:pPr>
        <w:spacing w:before="0" w:after="0" w:line="408" w:lineRule="exact"/>
        <w:ind w:left="0" w:right="0" w:firstLine="576"/>
        <w:jc w:val="left"/>
      </w:pPr>
      <w:r>
        <w:rPr/>
        <w:t xml:space="preserve">(b) A list of which nonpharmacologic treatments will be covered for each chronic condition specified as eligible for coverage;</w:t>
      </w:r>
    </w:p>
    <w:p>
      <w:pPr>
        <w:spacing w:before="0" w:after="0" w:line="408" w:lineRule="exact"/>
        <w:ind w:left="0" w:right="0" w:firstLine="576"/>
        <w:jc w:val="left"/>
      </w:pPr>
      <w:r>
        <w:rPr/>
        <w:t xml:space="preserve">(c) Recommendations as to the duration, amount, and type of treatment eligible for coverage by condition;</w:t>
      </w:r>
    </w:p>
    <w:p>
      <w:pPr>
        <w:spacing w:before="0" w:after="0" w:line="408" w:lineRule="exact"/>
        <w:ind w:left="0" w:right="0" w:firstLine="576"/>
        <w:jc w:val="left"/>
      </w:pPr>
      <w:r>
        <w:rPr/>
        <w:t xml:space="preserve">(d) A financial model that is scalable based on the types of conditions covered and the amount of allowed services per condition;</w:t>
      </w:r>
    </w:p>
    <w:p>
      <w:pPr>
        <w:spacing w:before="0" w:after="0" w:line="408" w:lineRule="exact"/>
        <w:ind w:left="0" w:right="0" w:firstLine="576"/>
        <w:jc w:val="left"/>
      </w:pPr>
      <w:r>
        <w:rPr/>
        <w:t xml:space="preserve">(e) Guidance on the type of providers eligible to provide these treatments; and</w:t>
      </w:r>
    </w:p>
    <w:p>
      <w:pPr>
        <w:spacing w:before="0" w:after="0" w:line="408" w:lineRule="exact"/>
        <w:ind w:left="0" w:right="0" w:firstLine="576"/>
        <w:jc w:val="left"/>
      </w:pPr>
      <w:r>
        <w:rPr/>
        <w:t xml:space="preserve">(f) Recommendations regarding the need to add any provider types to the list of currently eligible medicaid provider types.</w:t>
      </w:r>
    </w:p>
    <w:p>
      <w:pPr>
        <w:spacing w:before="0" w:after="0" w:line="408" w:lineRule="exact"/>
        <w:ind w:left="0" w:right="0" w:firstLine="576"/>
        <w:jc w:val="left"/>
      </w:pPr>
      <w:r>
        <w:rPr/>
        <w:t xml:space="preserve">(2) The health care authority shall ensure only treatments that are supported by evidence for the treatment of the specific chronic, acute, and subacute pain conditions listed will be eligible for coverage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authorized to prescribe opiates who writes a prescription for an opioid for the first time during the course of treatment to any patient shall have an in-person discussion with the patient that includes:</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22 of this act.</w:t>
      </w:r>
    </w:p>
    <w:p>
      <w:pPr>
        <w:spacing w:before="0" w:after="0" w:line="408" w:lineRule="exact"/>
        <w:ind w:left="0" w:right="0" w:firstLine="576"/>
        <w:jc w:val="left"/>
      </w:pPr>
      <w:r>
        <w:rPr/>
        <w:t xml:space="preserve">(2) If the patient is under eighteen years old or is not competent, the in-person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in-person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 opioid prescriptions:</w:t>
      </w:r>
    </w:p>
    <w:p>
      <w:pPr>
        <w:spacing w:before="0" w:after="0" w:line="408" w:lineRule="exact"/>
        <w:ind w:left="0" w:right="0" w:firstLine="576"/>
        <w:jc w:val="left"/>
      </w:pPr>
      <w:r>
        <w:rPr/>
        <w:t xml:space="preserve">(a) Issued for the treatment of pain associated with terminal cancer or other terminal diseases, or for palliative, hospice, or other end-of-life care of where the practitioner, in consultation with another qualified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That result in the administration of an opioid in an inpatient or outpatient treatment setting.</w:t>
      </w:r>
    </w:p>
    <w:p>
      <w:pPr>
        <w:spacing w:before="0" w:after="0" w:line="408" w:lineRule="exact"/>
        <w:ind w:left="0" w:right="0" w:firstLine="576"/>
        <w:jc w:val="left"/>
      </w:pPr>
      <w:r>
        <w:rPr/>
        <w:t xml:space="preserve">(7) For purposes of this section, "opioid" has the same meaning as "opiate" in RCW 69.50.101. It does not include opioid overdose reversal medications or medications approved by the federal food and drug administration for the treatment of opioid use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create a statement warning individuals about the risks of opioid use and abuse and provide information about safe disposal of opioids. The department shall provide the warning on its web site.</w:t>
      </w:r>
    </w:p>
    <w:p>
      <w:pPr>
        <w:spacing w:before="0" w:after="0" w:line="408" w:lineRule="exact"/>
        <w:ind w:left="0" w:right="0" w:firstLine="576"/>
        <w:jc w:val="left"/>
      </w:pPr>
      <w:r>
        <w:rPr/>
        <w:t xml:space="preserve">(2) On an annual basis, the department shall review the science, data, and best practices around the use of opioids and their associated risks. As evidence and best practices evolve, the department shall update its warning to reflect these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 podiatric physician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board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to practice podiatry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podiatric physician has reviewed the rules adopted for prescribing opioids as required by RCW 18.22.800.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 dentist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commission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to practice dentistry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dentist has reviewed the rules adopted for prescribing opioids as required by RCW 18.32.800.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an osteopathic physician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board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to practice osteopathic medicine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osteopathic physician has reviewed the rules adopted for prescribing opioids as required by RCW 18.57.800.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an osteopathic physician assistant that is specifically authorized to prescribe opioids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board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as an osteopathic physician assistant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osteopathic physician assistant has reviewed the rules adopted for prescribing opioids as required by RCW 18.57A.800.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 physician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commission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to practice medicine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physician has reviewed the rules adopted for prescribing opioids as required by RCW 18.71.800.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 physician assistant that is specifically authorized to prescribe opioids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commission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as a physician assistant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physician assistant has reviewed the rules adopted for prescribing opioids as required by RCW 18.71A.800.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an advanced registered nurse practitioner licensed to prescribe opioids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commission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as an advanced registered nurse practitioner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advanced registered nurse practitioner has reviewed the rules adopted for prescribing opioids as required by RCW 18.79.800.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room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13 of this act take effect only if Substitute House Bill No. 1388 (including any later amendments or substitutes) or Substitute Senate Bill No. 5259 (including any later amendments or substitutes) is signed into law by the governor by the effective date of this section.</w:t>
      </w:r>
    </w:p>
    <w:p/>
    <w:p>
      <w:pPr>
        <w:jc w:val="center"/>
      </w:pPr>
      <w:r>
        <w:rPr>
          <w:b/>
        </w:rPr>
        <w:t>--- END ---</w:t>
      </w:r>
    </w:p>
    <w:sectPr>
      <w:pgNumType w:start="1"/>
      <w:footerReference xmlns:r="http://schemas.openxmlformats.org/officeDocument/2006/relationships" r:id="R0813111452b94d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13bf3f83f14088" /><Relationship Type="http://schemas.openxmlformats.org/officeDocument/2006/relationships/footer" Target="/word/footer.xml" Id="R0813111452b94d53" /></Relationships>
</file>