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f0af507a2471d" /></Relationships>
</file>

<file path=word/document.xml><?xml version="1.0" encoding="utf-8"?>
<w:document xmlns:w="http://schemas.openxmlformats.org/wordprocessingml/2006/main">
  <w:body>
    <w:p>
      <w:r>
        <w:t>H-3038.1</w:t>
      </w:r>
    </w:p>
    <w:p>
      <w:pPr>
        <w:jc w:val="center"/>
      </w:pPr>
      <w:r>
        <w:t>_______________________________________________</w:t>
      </w:r>
    </w:p>
    <w:p/>
    <w:p>
      <w:pPr>
        <w:jc w:val="center"/>
      </w:pPr>
      <w:r>
        <w:rPr>
          <w:b/>
        </w:rPr>
        <w:t>HOUSE BILL 2525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Blake, Vick, Shea, Manweller, and Eslick</w:t>
      </w:r>
    </w:p>
    <w:p/>
    <w:p>
      <w:r>
        <w:rPr>
          <w:t xml:space="preserve">Read first time 01/10/18.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consistency of growth management act plans and development regulations with the Revised Code of Washington; amending RCW 36.70A.120, 36.70A.130, 36.70A.280, and 36.70A.280;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legislature enacts a statute, the provisions of the law become effective before local governments have the opportunity to update their comprehensive plans and development regulations. The local jurisdiction is not in violation of the growth management act in situations where it complies with the Revised Code of Washington in advance of the comprehensive plan updates set out within this chapter. Local jurisdictions may not prevent what the Revised Code of Washington authorizes just because the comprehensive plan has not been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120</w:t>
      </w:r>
      <w:r>
        <w:rPr/>
        <w:t xml:space="preserve"> and 1993 sp.s. c 6 s 3 are each amended to read as follows:</w:t>
      </w:r>
    </w:p>
    <w:p>
      <w:pPr>
        <w:spacing w:before="0" w:after="0" w:line="408" w:lineRule="exact"/>
        <w:ind w:left="0" w:right="0" w:firstLine="576"/>
        <w:jc w:val="left"/>
      </w:pPr>
      <w:r>
        <w:rPr/>
        <w:t xml:space="preserve">Each county and city that is required or chooses to plan under RCW 36.70A.040 shall perform its activities and make capital budget decisions in conformity with its comprehensive plan. </w:t>
      </w:r>
      <w:r>
        <w:rPr>
          <w:u w:val="single"/>
        </w:rPr>
        <w:t xml:space="preserve">Each county and city may authorize, permit, and perform activities in compliance with the Revised Code of Washington without being in conformance with a comprehensive plan or land use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 </w:t>
      </w:r>
      <w:r>
        <w:rPr>
          <w:u w:val="single"/>
        </w:rPr>
        <w:t xml:space="preserve">A development regulation that implements a section of the Revised Code of Washington does not have to be consistent with the comprehensive plan and land use map.</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w:t>
      </w:r>
      <w:r>
        <w:t>))</w:t>
      </w:r>
      <w:r>
        <w:rPr/>
        <w:t xml:space="preserve"> </w:t>
      </w:r>
      <w:r>
        <w:rPr>
          <w:u w:val="single"/>
        </w:rPr>
        <w:t xml:space="preserve">43.21C.440</w:t>
      </w:r>
      <w:r>
        <w:rPr/>
        <w:t xml:space="preserve">(2),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w:t>
      </w:r>
      <w:r>
        <w:rPr>
          <w:u w:val="single"/>
        </w:rPr>
        <w:t xml:space="preserve">Actions and development regulations enacted, adopted, or implemented by a county or city in conformance with provisions of the Revised Code of Washington enacted within one year of or subsequent to the adoption of a comprehensive plan under the eight-year schedule of RCW 36.70A.130 are not subject to challenge as being inconsistent with the comprehensive plan until at least eight years have passed without the comprehensive plan being updated to reflect modified provisions of the Revised Code of Washington.</w:t>
      </w:r>
    </w:p>
    <w:p>
      <w:pPr>
        <w:spacing w:before="0" w:after="0" w:line="408" w:lineRule="exact"/>
        <w:ind w:left="0" w:right="0" w:firstLine="576"/>
        <w:jc w:val="left"/>
      </w:pPr>
      <w:r>
        <w:rPr>
          <w:u w:val="single"/>
        </w:rPr>
        <w:t xml:space="preserve">(3)</w:t>
      </w:r>
      <w:r>
        <w:rPr/>
        <w:t xml:space="preserve">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establish participation standing under subsection </w:t>
      </w:r>
      <w:r>
        <w:t>((</w:t>
      </w:r>
      <w:r>
        <w:rPr>
          <w:strike/>
        </w:rPr>
        <w:t xml:space="preserve">(2)</w:t>
      </w:r>
      <w:r>
        <w:t>))</w:t>
      </w:r>
      <w:r>
        <w:rPr/>
        <w:t xml:space="preserve"> </w:t>
      </w:r>
      <w:r>
        <w:rPr>
          <w:u w:val="single"/>
        </w:rPr>
        <w:t xml:space="preserve">(3)</w:t>
      </w:r>
      <w:r>
        <w:rPr/>
        <w:t xml:space="preserve">(b)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w:t>
      </w:r>
      <w:r>
        <w:rPr>
          <w:u w:val="single"/>
        </w:rPr>
        <w:t xml:space="preserve">Actions and development regulations enacted, adopted, or implemented by a county or city in conformance with provisions of the Revised Code of Washington enacted within one year of or subsequent to the adoption of a comprehensive plan under the eight-year schedule of RCW 36.70A.130 are not subject to challenge as being inconsistent with the comprehensive plan until at least eight years have passed without the comprehensive plan being updated to reflect modified provisions of the Revised Code of Washington.</w:t>
      </w:r>
    </w:p>
    <w:p>
      <w:pPr>
        <w:spacing w:before="0" w:after="0" w:line="408" w:lineRule="exact"/>
        <w:ind w:left="0" w:right="0" w:firstLine="576"/>
        <w:jc w:val="left"/>
      </w:pPr>
      <w:r>
        <w:rPr>
          <w:u w:val="single"/>
        </w:rPr>
        <w:t xml:space="preserve">(3)</w:t>
      </w:r>
      <w:r>
        <w:rPr/>
        <w:t xml:space="preserve">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establish participation standing under subsection </w:t>
      </w:r>
      <w:r>
        <w:t>((</w:t>
      </w:r>
      <w:r>
        <w:rPr>
          <w:strike/>
        </w:rPr>
        <w:t xml:space="preserve">(2)</w:t>
      </w:r>
      <w:r>
        <w:t>))</w:t>
      </w:r>
      <w:r>
        <w:rPr/>
        <w:t xml:space="preserve"> </w:t>
      </w:r>
      <w:r>
        <w:rPr>
          <w:u w:val="single"/>
        </w:rPr>
        <w:t xml:space="preserve">(3)</w:t>
      </w:r>
      <w:r>
        <w:rPr/>
        <w:t xml:space="preserve">(b)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bce6d17f567744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1545eca26345fa" /><Relationship Type="http://schemas.openxmlformats.org/officeDocument/2006/relationships/footer" Target="/word/footer.xml" Id="Rbce6d17f567744aa" /></Relationships>
</file>