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e4802ff5d4d2d" /></Relationships>
</file>

<file path=word/document.xml><?xml version="1.0" encoding="utf-8"?>
<w:document xmlns:w="http://schemas.openxmlformats.org/wordprocessingml/2006/main">
  <w:body>
    <w:p>
      <w:r>
        <w:t>H-3188.1</w:t>
      </w:r>
    </w:p>
    <w:p>
      <w:pPr>
        <w:jc w:val="center"/>
      </w:pPr>
      <w:r>
        <w:t>_______________________________________________</w:t>
      </w:r>
    </w:p>
    <w:p/>
    <w:p>
      <w:pPr>
        <w:jc w:val="center"/>
      </w:pPr>
      <w:r>
        <w:rPr>
          <w:b/>
        </w:rPr>
        <w:t>HOUSE BILL 2527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McBride, and Shea</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random check procedures for ballot counting equipment; and amending RCW 29A.60.170.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may be conducted upon mutual agreement of the political party observers or at the discretion of the county auditor. The random check procedures must be adopted by the county canvassing board prior to the processing of ballots. The random check process shall involve a comparison of a manual count to the machine count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and the check must be completed no later than forty-eight hours after election day.</w:t>
      </w:r>
    </w:p>
    <w:p>
      <w:pPr>
        <w:spacing w:before="0" w:after="0" w:line="408" w:lineRule="exact"/>
        <w:ind w:left="0" w:right="0" w:firstLine="576"/>
        <w:jc w:val="left"/>
      </w:pPr>
      <w:r>
        <w:rPr>
          <w:u w:val="single"/>
        </w:rPr>
        <w:t xml:space="preserve">(4)(a) By November 1, 2018, the secretary of state shall:</w:t>
      </w:r>
    </w:p>
    <w:p>
      <w:pPr>
        <w:spacing w:before="0" w:after="0" w:line="408" w:lineRule="exact"/>
        <w:ind w:left="0" w:right="0" w:firstLine="576"/>
        <w:jc w:val="left"/>
      </w:pPr>
      <w:r>
        <w:rPr>
          <w:u w:val="singl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u w:val="single"/>
        </w:rPr>
        <w:t xml:space="preserve">(ii) Evaluate the procedures to identify the best practices and any discrepancies.</w:t>
      </w:r>
    </w:p>
    <w:p>
      <w:pPr>
        <w:spacing w:before="0" w:after="0" w:line="408" w:lineRule="exact"/>
        <w:ind w:left="0" w:right="0" w:firstLine="576"/>
        <w:jc w:val="left"/>
      </w:pPr>
      <w:r>
        <w:rPr>
          <w:u w:val="single"/>
        </w:rPr>
        <w:t xml:space="preserve">(b) By December 1, 2018, the secretary of state shall submit a report, in compliance with RCW 43.01.036, to the appropriate committees of the legislature that provides recommendations, based on the evaluation performed under (a) of this subsection, for adopting best practices and uniform procedures.</w:t>
      </w:r>
    </w:p>
    <w:p/>
    <w:p>
      <w:pPr>
        <w:jc w:val="center"/>
      </w:pPr>
      <w:r>
        <w:rPr>
          <w:b/>
        </w:rPr>
        <w:t>--- END ---</w:t>
      </w:r>
    </w:p>
    <w:sectPr>
      <w:pgNumType w:start="1"/>
      <w:footerReference xmlns:r="http://schemas.openxmlformats.org/officeDocument/2006/relationships" r:id="R034a233e63a649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befacdec14deb" /><Relationship Type="http://schemas.openxmlformats.org/officeDocument/2006/relationships/footer" Target="/word/footer.xml" Id="R034a233e63a64997" /></Relationships>
</file>