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37f69d53af42dc" /></Relationships>
</file>

<file path=word/document.xml><?xml version="1.0" encoding="utf-8"?>
<w:document xmlns:w="http://schemas.openxmlformats.org/wordprocessingml/2006/main">
  <w:body>
    <w:p>
      <w:r>
        <w:t>H-3631.1</w:t>
      </w:r>
    </w:p>
    <w:p>
      <w:pPr>
        <w:jc w:val="center"/>
      </w:pPr>
      <w:r>
        <w:t>_______________________________________________</w:t>
      </w:r>
    </w:p>
    <w:p/>
    <w:p>
      <w:pPr>
        <w:jc w:val="center"/>
      </w:pPr>
      <w:r>
        <w:rPr>
          <w:b/>
        </w:rPr>
        <w:t>HOUSE BILL 2631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Griffey</w:t>
      </w:r>
    </w:p>
    <w:p/>
    <w:p>
      <w:r>
        <w:rPr>
          <w:t xml:space="preserve">Read first time 01/11/18.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spurring innovation through incentivizing the use of sustainable building materials; reenacting and amending RCW 43.84.092; adding new sections to chapter 43.330 RCW; adding a new section to chapter 82.45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see Washington lead the world in innovation and environmental stewardship, particularly as it relates to the construction of tall commercial buildings. Over the years, programs have been implemented to spur innovation efforts in fields including mathematics, medicine, and technology. These contests have resulted in important innovations, solutions, and advanced the development of certain industries.</w:t>
      </w:r>
    </w:p>
    <w:p>
      <w:pPr>
        <w:spacing w:before="0" w:after="0" w:line="408" w:lineRule="exact"/>
        <w:ind w:left="0" w:right="0" w:firstLine="576"/>
        <w:jc w:val="left"/>
      </w:pPr>
      <w:r>
        <w:rPr/>
        <w:t xml:space="preserve">(2) In 2014 the United States department of agriculture established the U.S. tall wood building prize competition. The competition gave architects, engineers, and developers an opportunity to demonstrate the commercial viability of advanced wood products like cross-laminated timber in tall buildings. One of the winning teams designed a twelve-story multipurpose building to be constructed primarily from cross-laminated timber. The idea behind the building design competition was to increase the creation of tall wood building, increase the demand for wood products and wood product innovation, and boost rural economic development.</w:t>
      </w:r>
    </w:p>
    <w:p>
      <w:pPr>
        <w:spacing w:before="0" w:after="0" w:line="408" w:lineRule="exact"/>
        <w:ind w:left="0" w:right="0" w:firstLine="576"/>
        <w:jc w:val="left"/>
      </w:pPr>
      <w:r>
        <w:rPr/>
        <w:t xml:space="preserve">(3) The legislature intends to create a competitive incentive program to advance sustainability in the built environment. The legislature intends for grants to be awarded in a manner calculated to advance the local market, products, design, manufacturing, and skilled trades related to construction of commercial buildings using sustainable building materials. The program will invite proposals that use sustainable building materials, not limited to wood products, in the construction of tall commercial buildings.</w:t>
      </w:r>
    </w:p>
    <w:p>
      <w:pPr>
        <w:spacing w:before="0" w:after="0" w:line="408" w:lineRule="exact"/>
        <w:ind w:left="0" w:right="0" w:firstLine="576"/>
        <w:jc w:val="left"/>
      </w:pPr>
      <w:r>
        <w:rPr/>
        <w:t xml:space="preserve">(4) In recent years, the state has seen a dramatic increase in revenue from the real estate excise tax collected on sales of commercial buildings valued at more than ten million dollars. The legislature recognizes an opportunity to use the revenue from sales of existing high-value commercial buildings to create the capacity in Washington to develop the most innovative and sustainable next generation of tall commercial buildings.</w:t>
      </w:r>
    </w:p>
    <w:p>
      <w:pPr>
        <w:spacing w:before="0" w:after="0" w:line="408" w:lineRule="exact"/>
        <w:ind w:left="0" w:right="0" w:firstLine="576"/>
        <w:jc w:val="left"/>
      </w:pPr>
      <w:r>
        <w:rPr/>
        <w:t xml:space="preserve">(5) Therefore, the legislature intends to promote the manufacturing of sustainable building materials and use in construction by spurring innovation through a sustainable building materials incentive program. The legislature recognizes that it takes time to generate long-term investment by market innovators and to develop and foster a mature market. Therefore, the legislature intends to extend the incentive program for no less than ten years, to allow the growth opportunity of this industry to be fully realized.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sections 3 through 9 of this act unless the context clearly requires otherwise.</w:t>
      </w:r>
    </w:p>
    <w:p>
      <w:pPr>
        <w:spacing w:before="0" w:after="0" w:line="408" w:lineRule="exact"/>
        <w:ind w:left="0" w:right="0" w:firstLine="576"/>
        <w:jc w:val="left"/>
      </w:pPr>
      <w:r>
        <w:rPr/>
        <w:t xml:space="preserve">(1) "Board" means the sustainable building materials incentive program board established in section 4 of this act.</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"Mass timber" means a type of building component or system that uses large panelized wood construction, including:</w:t>
      </w:r>
    </w:p>
    <w:p>
      <w:pPr>
        <w:spacing w:before="0" w:after="0" w:line="408" w:lineRule="exact"/>
        <w:ind w:left="0" w:right="0" w:firstLine="576"/>
        <w:jc w:val="left"/>
      </w:pPr>
      <w:r>
        <w:rPr/>
        <w:t xml:space="preserve">(a) Cross-laminated timber;</w:t>
      </w:r>
    </w:p>
    <w:p>
      <w:pPr>
        <w:spacing w:before="0" w:after="0" w:line="408" w:lineRule="exact"/>
        <w:ind w:left="0" w:right="0" w:firstLine="576"/>
        <w:jc w:val="left"/>
      </w:pPr>
      <w:r>
        <w:rPr/>
        <w:t xml:space="preserve">(b) Nail laminated timber;</w:t>
      </w:r>
    </w:p>
    <w:p>
      <w:pPr>
        <w:spacing w:before="0" w:after="0" w:line="408" w:lineRule="exact"/>
        <w:ind w:left="0" w:right="0" w:firstLine="576"/>
        <w:jc w:val="left"/>
      </w:pPr>
      <w:r>
        <w:rPr/>
        <w:t xml:space="preserve">(c) Glue laminated timber;</w:t>
      </w:r>
    </w:p>
    <w:p>
      <w:pPr>
        <w:spacing w:before="0" w:after="0" w:line="408" w:lineRule="exact"/>
        <w:ind w:left="0" w:right="0" w:firstLine="576"/>
        <w:jc w:val="left"/>
      </w:pPr>
      <w:r>
        <w:rPr/>
        <w:t xml:space="preserve">(d) Laminated strand timber; and</w:t>
      </w:r>
    </w:p>
    <w:p>
      <w:pPr>
        <w:spacing w:before="0" w:after="0" w:line="408" w:lineRule="exact"/>
        <w:ind w:left="0" w:right="0" w:firstLine="576"/>
        <w:jc w:val="left"/>
      </w:pPr>
      <w:r>
        <w:rPr/>
        <w:t xml:space="preserve">(e) Laminated veneer lumber.</w:t>
      </w:r>
    </w:p>
    <w:p>
      <w:pPr>
        <w:spacing w:before="0" w:after="0" w:line="408" w:lineRule="exact"/>
        <w:ind w:left="0" w:right="0" w:firstLine="576"/>
        <w:jc w:val="left"/>
      </w:pPr>
      <w:r>
        <w:rPr/>
        <w:t xml:space="preserve">(5) "Sustainable building materials" means materials, including mass timber, concrete, steel, glass, and other materials proven to be suitable for construction of a building more than eighty-five feet in height.</w:t>
      </w:r>
    </w:p>
    <w:p>
      <w:pPr>
        <w:spacing w:before="0" w:after="0" w:line="408" w:lineRule="exact"/>
        <w:ind w:left="0" w:right="0" w:firstLine="576"/>
        <w:jc w:val="left"/>
      </w:pPr>
      <w:r>
        <w:rPr/>
        <w:t xml:space="preserve">(6) "Sustainable building materials incentive program account" means the account created in section 5 of this act.</w:t>
      </w:r>
    </w:p>
    <w:p>
      <w:pPr>
        <w:spacing w:before="0" w:after="0" w:line="408" w:lineRule="exact"/>
        <w:ind w:left="0" w:right="0" w:firstLine="576"/>
        <w:jc w:val="left"/>
      </w:pPr>
      <w:r>
        <w:rPr/>
        <w:t xml:space="preserve">(7) "Sustainable building materials incentive program or incentive program" means the program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SUSTAINABLE BUILDING MATERIALS INCENTIVE PROGRAM ESTABLISHED.</w:t>
      </w:r>
    </w:p>
    <w:p>
      <w:pPr>
        <w:spacing w:before="0" w:after="0" w:line="408" w:lineRule="exact"/>
        <w:ind w:left="0" w:right="0" w:firstLine="576"/>
        <w:jc w:val="left"/>
      </w:pPr>
      <w:r>
        <w:rPr/>
        <w:t xml:space="preserve">(1) The sustainable building materials incentive program is established in the department to spur innovation in the sustainable building materials sector and advance the building of tall buildings from sustainable building materials in Washington, promoting the manufacturing of sustainable building materials. The department, through the sustainable building materials incentive program board, must enter into a contract with a statewide nonprofit organization, existing on the effective date of this section, to carry out the purpose of chapter . . ., Laws of 2018 (this act) and whose sole purpose is to run the sustainable building materials incentive program. The contract must contain the statewide nonprofit organization's statewide sustainable building materials incentive program plan containing criteria and terms for the distribution of grants for successful proposals. Incentive program criteria must include:</w:t>
      </w:r>
    </w:p>
    <w:p>
      <w:pPr>
        <w:spacing w:before="0" w:after="0" w:line="408" w:lineRule="exact"/>
        <w:ind w:left="0" w:right="0" w:firstLine="576"/>
        <w:jc w:val="left"/>
      </w:pPr>
      <w:r>
        <w:rPr/>
        <w:t xml:space="preserve">(a) A requirement that fifty percent of grant funds must go towards an incentive applicant from the architecture and design industry and the remaining fifty percent of grant funds must go towards a competitor(s) from the production sector, including workforce development;</w:t>
      </w:r>
    </w:p>
    <w:p>
      <w:pPr>
        <w:spacing w:before="0" w:after="0" w:line="408" w:lineRule="exact"/>
        <w:ind w:left="0" w:right="0" w:firstLine="576"/>
        <w:jc w:val="left"/>
      </w:pPr>
      <w:r>
        <w:rPr/>
        <w:t xml:space="preserve">(b) Terms to include incentive program competitors from representation of all regions of the state, including both urban and rural communities;</w:t>
      </w:r>
    </w:p>
    <w:p>
      <w:pPr>
        <w:spacing w:before="0" w:after="0" w:line="408" w:lineRule="exact"/>
        <w:ind w:left="0" w:right="0" w:firstLine="576"/>
        <w:jc w:val="left"/>
      </w:pPr>
      <w:r>
        <w:rPr/>
        <w:t xml:space="preserve">(c) Length of the incentive program competition period;</w:t>
      </w:r>
    </w:p>
    <w:p>
      <w:pPr>
        <w:spacing w:before="0" w:after="0" w:line="408" w:lineRule="exact"/>
        <w:ind w:left="0" w:right="0" w:firstLine="576"/>
        <w:jc w:val="left"/>
      </w:pPr>
      <w:r>
        <w:rPr/>
        <w:t xml:space="preserve">(d) Goals of the incentive program;</w:t>
      </w:r>
    </w:p>
    <w:p>
      <w:pPr>
        <w:spacing w:before="0" w:after="0" w:line="408" w:lineRule="exact"/>
        <w:ind w:left="0" w:right="0" w:firstLine="576"/>
        <w:jc w:val="left"/>
      </w:pPr>
      <w:r>
        <w:rPr/>
        <w:t xml:space="preserve">(e) A description of program benefits to the public; and</w:t>
      </w:r>
    </w:p>
    <w:p>
      <w:pPr>
        <w:spacing w:before="0" w:after="0" w:line="408" w:lineRule="exact"/>
        <w:ind w:left="0" w:right="0" w:firstLine="576"/>
        <w:jc w:val="left"/>
      </w:pPr>
      <w:r>
        <w:rPr/>
        <w:t xml:space="preserve">(f) Such other criteria as agreed by the department and the nonprofit organization.</w:t>
      </w:r>
    </w:p>
    <w:p>
      <w:pPr>
        <w:spacing w:before="0" w:after="0" w:line="408" w:lineRule="exact"/>
        <w:ind w:left="0" w:right="0" w:firstLine="576"/>
        <w:jc w:val="left"/>
      </w:pPr>
      <w:r>
        <w:rPr/>
        <w:t xml:space="preserve">(2) The department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SUSTAINABLE BUILDING MATERIALS INCENTIVE PROGRAM BOARD.</w:t>
      </w:r>
    </w:p>
    <w:p>
      <w:pPr>
        <w:spacing w:before="0" w:after="0" w:line="408" w:lineRule="exact"/>
        <w:ind w:left="0" w:right="0" w:firstLine="576"/>
        <w:jc w:val="left"/>
      </w:pPr>
      <w:r>
        <w:rPr/>
        <w:t xml:space="preserve">(1) The sustainable building materials incentive program must be governed by a board of directors. The board of directors must consist of:</w:t>
      </w:r>
    </w:p>
    <w:p>
      <w:pPr>
        <w:spacing w:before="0" w:after="0" w:line="408" w:lineRule="exact"/>
        <w:ind w:left="0" w:right="0" w:firstLine="576"/>
        <w:jc w:val="left"/>
      </w:pPr>
      <w:r>
        <w:rPr/>
        <w:t xml:space="preserve">(a) One member from each of the two major caucuses of the house of representatives to be appointed by the speaker of the house of representatives and one member from each of the two major caucuses of the senate to be appointed by the president of the senate; and</w:t>
      </w:r>
    </w:p>
    <w:p>
      <w:pPr>
        <w:spacing w:before="0" w:after="0" w:line="408" w:lineRule="exact"/>
        <w:ind w:left="0" w:right="0" w:firstLine="576"/>
        <w:jc w:val="left"/>
      </w:pPr>
      <w:r>
        <w:rPr/>
        <w:t xml:space="preserve">(b) Nine representatives from the building industry, including representatives from architecture and design firms and building materials production sectors, appointed by the director of the department of commerce.</w:t>
      </w:r>
    </w:p>
    <w:p>
      <w:pPr>
        <w:spacing w:before="0" w:after="0" w:line="408" w:lineRule="exact"/>
        <w:ind w:left="0" w:right="0" w:firstLine="576"/>
        <w:jc w:val="left"/>
      </w:pPr>
      <w:r>
        <w:rPr/>
        <w:t xml:space="preserve">(2) Appointments by the director of the department must take into consideration the expertise and industry knowledge necessary to accelerate the maturation of the market in Washington, and the capability of the representative to evaluate applications for grants to be awarded in the areas of product design, workforce training, and production.</w:t>
      </w:r>
    </w:p>
    <w:p>
      <w:pPr>
        <w:spacing w:before="0" w:after="0" w:line="408" w:lineRule="exact"/>
        <w:ind w:left="0" w:right="0" w:firstLine="576"/>
        <w:jc w:val="left"/>
      </w:pPr>
      <w:r>
        <w:rPr/>
        <w:t xml:space="preserve">(3) The initial appointments under subsection (1) of this section must be appointed to terms as follows: Three members for two-year terms, three members for three-year terms, and three members for four-year terms, which must include the chair. After the initial appointments, all appointments must be for four years.</w:t>
      </w:r>
    </w:p>
    <w:p>
      <w:pPr>
        <w:spacing w:before="0" w:after="0" w:line="408" w:lineRule="exact"/>
        <w:ind w:left="0" w:right="0" w:firstLine="576"/>
        <w:jc w:val="left"/>
      </w:pPr>
      <w:r>
        <w:rPr/>
        <w:t xml:space="preserve">(4) The board must select from its membership the chair of the board and such other officers as it deems appropriate.</w:t>
      </w:r>
    </w:p>
    <w:p>
      <w:pPr>
        <w:spacing w:before="0" w:after="0" w:line="408" w:lineRule="exact"/>
        <w:ind w:left="0" w:right="0" w:firstLine="576"/>
        <w:jc w:val="left"/>
      </w:pPr>
      <w:r>
        <w:rPr/>
        <w:t xml:space="preserve">(5) A majority of the board constitutes a quorum.</w:t>
      </w:r>
    </w:p>
    <w:p>
      <w:pPr>
        <w:spacing w:before="0" w:after="0" w:line="408" w:lineRule="exact"/>
        <w:ind w:left="0" w:right="0" w:firstLine="576"/>
        <w:jc w:val="left"/>
      </w:pPr>
      <w:r>
        <w:rPr/>
        <w:t xml:space="preserve">(6) The board must create its own bylaws in accordance with the laws of the state of Washington.</w:t>
      </w:r>
    </w:p>
    <w:p>
      <w:pPr>
        <w:spacing w:before="0" w:after="0" w:line="408" w:lineRule="exact"/>
        <w:ind w:left="0" w:right="0" w:firstLine="576"/>
        <w:jc w:val="left"/>
      </w:pPr>
      <w:r>
        <w:rPr/>
        <w:t xml:space="preserve">(7)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(8) If a vacancy occurs on the board, the director must fill the same for the unexpired term.</w:t>
      </w:r>
    </w:p>
    <w:p>
      <w:pPr>
        <w:spacing w:before="0" w:after="0" w:line="408" w:lineRule="exact"/>
        <w:ind w:left="0" w:right="0" w:firstLine="576"/>
        <w:jc w:val="left"/>
      </w:pPr>
      <w:r>
        <w:rPr/>
        <w:t xml:space="preserve">(9) The members of the board serve without compensation but are entitled to reimbursement, solely from the funds of the authority, for expenses incurred in the discharge of their duties.</w:t>
      </w:r>
    </w:p>
    <w:p>
      <w:pPr>
        <w:spacing w:before="0" w:after="0" w:line="408" w:lineRule="exact"/>
        <w:ind w:left="0" w:right="0" w:firstLine="576"/>
        <w:jc w:val="left"/>
      </w:pPr>
      <w:r>
        <w:rPr/>
        <w:t xml:space="preserve">(10) The board must meet at least quarterly.</w:t>
      </w:r>
    </w:p>
    <w:p>
      <w:pPr>
        <w:spacing w:before="0" w:after="0" w:line="408" w:lineRule="exact"/>
        <w:ind w:left="0" w:right="0" w:firstLine="576"/>
        <w:jc w:val="left"/>
      </w:pPr>
      <w:r>
        <w:rPr/>
        <w:t xml:space="preserve">(11) No board member of the authority may serve on the board of an organization that could be considered for the contract authorized by RCW 43.79A.040.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SUSTAINABLE BUILDING MATERIALS INCENTIVE PROGRAM ACCOUNT.</w:t>
      </w:r>
    </w:p>
    <w:p>
      <w:pPr>
        <w:spacing w:before="0" w:after="0" w:line="408" w:lineRule="exact"/>
        <w:ind w:left="0" w:right="0" w:firstLine="576"/>
        <w:jc w:val="left"/>
      </w:pPr>
      <w:r>
        <w:rPr/>
        <w:t xml:space="preserve">The sustainable building materials incentive program account is created in the state treasury. All receipts from tax revenues deposited pursuant to section 9 of this act must be deposited into the account. Expenditures from the account may only be made after appropriation. Expenditures from the account may be made only by the department for the purpose of the sustainable building materials incentive program established in section 3 of this act. The account is subject to allotment procedures under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GIFTS OR GRANTS TO THE SUSTAINABLE BUILDING MATERIALS INCENTIVE PROGRAM BOARD.</w:t>
      </w:r>
      <w:r>
        <w:t xml:space="preserve">  </w:t>
      </w:r>
      <w:r>
        <w:rPr/>
        <w:t xml:space="preserve">The board may receive gifts, grants, or endowments from public or private sources that are made from time to time, in trust or otherwise, for the use and benefit of the purposes of the authority and spend gifts, grants, or endowments or income from public or private sources according to their terms, unless the receipt of gifts, grants, or endowments violates RCW 42.17A.560.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JLARC REVIEW.</w:t>
      </w:r>
    </w:p>
    <w:p>
      <w:pPr>
        <w:spacing w:before="0" w:after="0" w:line="408" w:lineRule="exact"/>
        <w:ind w:left="0" w:right="0" w:firstLine="576"/>
        <w:jc w:val="left"/>
      </w:pPr>
      <w:r>
        <w:rPr/>
        <w:t xml:space="preserve">The joint legislative audit and review committee must conduct an evaluation of the sustainable building materials incentive program created in section 3 of this act and report its findings and recommendations to the governor and the economic development committees of the senate and house of representatives, in compliance with RCW 43.01.036, by December 1, 2026. The purpose of the evaluation is to determine the extent to which the sustainable building materials incentive program recipients are spurring innovation in the development of buildings made of sustainable materials and manufacturing of sustainable building materials. To evaluate whether the projects have spurred innovation, the joint legislative audit and review committee's review must include, the quantity and types of jobs created and maintained in the sustainable building materials industry, incomes of industry-related jobs, the number of sustainable materials buildings built in Washington since the enactment of this act, and whether new markets have been developed for sustainable building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SHORT TITLE.</w:t>
      </w:r>
    </w:p>
    <w:p>
      <w:pPr>
        <w:spacing w:before="0" w:after="0" w:line="408" w:lineRule="exact"/>
        <w:ind w:left="0" w:right="0" w:firstLine="576"/>
        <w:jc w:val="left"/>
      </w:pPr>
      <w:r>
        <w:rPr/>
        <w:t xml:space="preserve">This act may be cited as the sustainable building materials incentive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Beginning July 1, 2018, and ending July 1, 2028, the first five million dollars from taxes collected pursuant to RCW 82.45.060 on the sales of commercial buildings valued at more than ten million dollars must be deposited into the sustainable building materials incentive program account created in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w:t>
      </w:r>
      <w:r>
        <w:rPr>
          <w:u w:val="single"/>
        </w:rPr>
        <w:t xml:space="preserve">the sustainable building materials incentive program account,</w:t>
      </w:r>
      <w:r>
        <w:rPr/>
        <w:t xml:space="preserve">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ab02a08f93584e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960f9c73814f8d" /><Relationship Type="http://schemas.openxmlformats.org/officeDocument/2006/relationships/footer" Target="/word/footer.xml" Id="Rab02a08f93584e1c" /></Relationships>
</file>