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d0a1895a543df" /></Relationships>
</file>

<file path=word/document.xml><?xml version="1.0" encoding="utf-8"?>
<w:document xmlns:w="http://schemas.openxmlformats.org/wordprocessingml/2006/main">
  <w:body>
    <w:p>
      <w:r>
        <w:t>H-3583.1</w:t>
      </w:r>
    </w:p>
    <w:p>
      <w:pPr>
        <w:jc w:val="center"/>
      </w:pPr>
      <w:r>
        <w:t>_______________________________________________</w:t>
      </w:r>
    </w:p>
    <w:p/>
    <w:p>
      <w:pPr>
        <w:jc w:val="center"/>
      </w:pPr>
      <w:r>
        <w:rPr>
          <w:b/>
        </w:rPr>
        <w:t>HOUSE BILL 2632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Fitzgibbon, Senn, Appleton, Ortiz-Self, McBride, Macri, Tarleton, Hudgins, Ryu, Pollet, Goodman, and Stanford</w:t>
      </w:r>
    </w:p>
    <w:p/>
    <w:p>
      <w:r>
        <w:rPr>
          <w:t xml:space="preserve">Read first time 01/11/18.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public exposure to certain dangerous chemicals through restrictions on chemicals in certain consumer products and improved public disclosure; amending RCW 70.240.025 and 70.240.040; and reenacting and amending RCW 70.240.010.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2016 c 176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June 9, 2016, in a form that has not undergone a reactive process and is not covalently bonded to a polymer in a product or product component.</w:t>
      </w:r>
    </w:p>
    <w:p>
      <w:pPr>
        <w:spacing w:before="0" w:after="0" w:line="408" w:lineRule="exact"/>
        <w:ind w:left="0" w:right="0" w:firstLine="576"/>
        <w:jc w:val="left"/>
      </w:pPr>
      <w:r>
        <w:rPr/>
        <w:t xml:space="preserve">(2)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(4)(a)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Portable infant or child safety seat designed to attach to an automobile seat.</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and children's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(5)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(6) "Decabromodiphenyl ether" means the chemical decabromodiphenyl ether, chemical abstracts service number 1163-19-5, as of June 9, 2016.</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"HBCD" means the chemical hexabromocyclododecane, chemical abstracts service number 25637-99-4, as of June 9, 2016.</w:t>
      </w:r>
    </w:p>
    <w:p>
      <w:pPr>
        <w:spacing w:before="0" w:after="0" w:line="408" w:lineRule="exact"/>
        <w:ind w:left="0" w:right="0" w:firstLine="576"/>
        <w:jc w:val="left"/>
      </w:pPr>
      <w:r>
        <w:rPr/>
        <w:t xml:space="preserve">(9)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(10) "IPTPP" means the chemical isopropylated triphenyl phosphate, chemical abstracts service number 68937-41-7, as of June 9, 2016.</w:t>
      </w:r>
    </w:p>
    <w:p>
      <w:pPr>
        <w:spacing w:before="0" w:after="0" w:line="408" w:lineRule="exact"/>
        <w:ind w:left="0" w:right="0" w:firstLine="576"/>
        <w:jc w:val="left"/>
      </w:pPr>
      <w:r>
        <w:rPr/>
        <w:t xml:space="preserve">(11) "Manufacturer" includes any person, firm, association, partnership, corporation, governmental entity, organization, or joint venture that produces residential upholstered furniture as defined in RCW 70.76.010 or children's product or an importer or domestic distributor of residential upholstered furniture as defined in RCW 70.76.010 or children's product. For the purposes of this subsection, "importer" means the owner of the residential upholstered furniture as defined in RCW 70.76.010 or children's product.</w:t>
      </w:r>
    </w:p>
    <w:p>
      <w:pPr>
        <w:spacing w:before="0" w:after="0" w:line="408" w:lineRule="exact"/>
        <w:ind w:left="0" w:right="0" w:firstLine="576"/>
        <w:jc w:val="left"/>
      </w:pPr>
      <w:r>
        <w:rPr/>
        <w:t xml:space="preserve">(12)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(13) "TBB" means the chemical (2-ethylhexyl)-2,3,4,5-tetrabromobenzoate, chemical abstracts service number 183658-27-7, as of June 9, 2016.</w:t>
      </w:r>
    </w:p>
    <w:p>
      <w:pPr>
        <w:spacing w:before="0" w:after="0" w:line="408" w:lineRule="exact"/>
        <w:ind w:left="0" w:right="0" w:firstLine="576"/>
        <w:jc w:val="left"/>
      </w:pPr>
      <w:r>
        <w:rPr/>
        <w:t xml:space="preserve">(14) "TBPH" means the chemical bis (2-ethylhexyl)-2,3,4,5-tetrabromophthalate, chemical abstracts service number 26040-51-7, as of June 9, 2016.</w:t>
      </w:r>
    </w:p>
    <w:p>
      <w:pPr>
        <w:spacing w:before="0" w:after="0" w:line="408" w:lineRule="exact"/>
        <w:ind w:left="0" w:right="0" w:firstLine="576"/>
        <w:jc w:val="left"/>
      </w:pPr>
      <w:r>
        <w:rPr/>
        <w:t xml:space="preserve">(15) "TCEP" means the chemical (tris(2-chloroethyl)phosphate); chemical abstracts service number 115-96-8, as of June 9, 2016.</w:t>
      </w:r>
    </w:p>
    <w:p>
      <w:pPr>
        <w:spacing w:before="0" w:after="0" w:line="408" w:lineRule="exact"/>
        <w:ind w:left="0" w:right="0" w:firstLine="576"/>
        <w:jc w:val="left"/>
      </w:pPr>
      <w:r>
        <w:rPr/>
        <w:t xml:space="preserve">(16) "TCPP" means the chemical tris (1-chloro-2-propyl) phosphate); chemical abstracts service number 13674-84-5, as of June 9, 2016.</w:t>
      </w:r>
    </w:p>
    <w:p>
      <w:pPr>
        <w:spacing w:before="0" w:after="0" w:line="408" w:lineRule="exact"/>
        <w:ind w:left="0" w:right="0" w:firstLine="576"/>
        <w:jc w:val="left"/>
      </w:pPr>
      <w:r>
        <w:rPr/>
        <w:t xml:space="preserve">(17) "TDCPP" means the chemical (tris(1,3-dichloro-2- propyl)phosphate); chemical abstracts service number 13674-87-8, as of June 9, 2016.</w:t>
      </w:r>
    </w:p>
    <w:p>
      <w:pPr>
        <w:spacing w:before="0" w:after="0" w:line="408" w:lineRule="exact"/>
        <w:ind w:left="0" w:right="0" w:firstLine="576"/>
        <w:jc w:val="left"/>
      </w:pPr>
      <w:r>
        <w:rPr/>
        <w:t xml:space="preserve">(18) "Toy" means a product designed or intended by the manufacturer to be used by a child at play.</w:t>
      </w:r>
    </w:p>
    <w:p>
      <w:pPr>
        <w:spacing w:before="0" w:after="0" w:line="408" w:lineRule="exact"/>
        <w:ind w:left="0" w:right="0" w:firstLine="576"/>
        <w:jc w:val="left"/>
      </w:pPr>
      <w:r>
        <w:rPr/>
        <w:t xml:space="preserve">(19) "TPP" means the chemical triphenyl phosphate, chemical abstracts service number 115-86-6, as of June 9, 2016.</w:t>
      </w:r>
    </w:p>
    <w:p>
      <w:pPr>
        <w:spacing w:before="0" w:after="0" w:line="408" w:lineRule="exact"/>
        <w:ind w:left="0" w:right="0" w:firstLine="576"/>
        <w:jc w:val="left"/>
      </w:pPr>
      <w:r>
        <w:rPr/>
        <w:t xml:space="preserve">(20)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(21) "V6" means the chemical bis(chloromethyl) propane-1,3-diyltetrakis (2-chloroethyl) bisphosphate, chemical abstracts service number 385051-10-4, as of June 9, 2016.</w:t>
      </w:r>
    </w:p>
    <w:p>
      <w:pPr>
        <w:spacing w:before="0" w:after="0" w:line="408" w:lineRule="exact"/>
        <w:ind w:left="0" w:right="0" w:firstLine="576"/>
        <w:jc w:val="left"/>
      </w:pPr>
      <w:r>
        <w:rPr/>
        <w:t xml:space="preserve">(22)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(23)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(24) "Organohalogen" means a class of chemicals that include any chemical containing one or more halogen elements bonded to carbon.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025</w:t>
      </w:r>
      <w:r>
        <w:rPr/>
        <w:t xml:space="preserve"> and 2016 c 176 s 2 are each amended to read as follows:</w:t>
      </w:r>
    </w:p>
    <w:p>
      <w:pPr>
        <w:spacing w:before="0" w:after="0" w:line="408" w:lineRule="exact"/>
        <w:ind w:left="0" w:right="0" w:firstLine="576"/>
        <w:jc w:val="left"/>
      </w:pPr>
      <w:r>
        <w:rPr>
          <w:u w:val="single"/>
        </w:rPr>
        <w:t xml:space="preserve">(1)</w:t>
      </w:r>
      <w:r>
        <w:rPr/>
        <w:t xml:space="preserve"> Beginning July 1, 2017, no manufacturer, wholesaler, or retailer may manufacture, knowingly sell, offer for sale, distribute for sale, or distribute for use in this state children's products or residential upholstered furniture, as defined in RCW 70.76.010, containing any of the following flame retardants in amounts greater than one thousand parts per million in any product component: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TDCPP;</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TCEP;</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Decabromodiphenyl ether;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HBCD; or</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Additive TBBPA.</w:t>
      </w:r>
    </w:p>
    <w:p>
      <w:pPr>
        <w:spacing w:before="0" w:after="0" w:line="408" w:lineRule="exact"/>
        <w:ind w:left="0" w:right="0" w:firstLine="576"/>
        <w:jc w:val="left"/>
      </w:pPr>
      <w:r>
        <w:rPr>
          <w:u w:val="single"/>
        </w:rPr>
        <w:t xml:space="preserve">(2) Beginning July 1, 2020, manufacturers, wholesalers, and retailers may not manufacture, knowingly sell, offer for sale, distribute for sale, or distribute for use in this state children's products, mattresses as defined in RCW 70.76.010, electronic enclosures as defined in RCW 70.76.010 for consumer or children's electronics products, or residential upholstered furniture, as defined in RCW 70.76.010 that contain any combination of organohalogen flame retardants in total amounts greater than one thousand parts per million in any product component.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040</w:t>
      </w:r>
      <w:r>
        <w:rPr/>
        <w:t xml:space="preserve"> and 2008 c 288 s 5 are each amended to read as follows:</w:t>
      </w:r>
    </w:p>
    <w:p>
      <w:pPr>
        <w:spacing w:before="0" w:after="0" w:line="408" w:lineRule="exact"/>
        <w:ind w:left="0" w:right="0" w:firstLine="576"/>
        <w:jc w:val="left"/>
      </w:pPr>
      <w:r>
        <w:rPr/>
        <w:t xml:space="preserve">Beginning six months after the department has adopted rules under </w:t>
      </w:r>
      <w:r>
        <w:t>((</w:t>
      </w:r>
      <w:r>
        <w:rPr>
          <w:strike/>
        </w:rPr>
        <w:t xml:space="preserve">section 8(5) of this act</w:t>
      </w:r>
      <w:r>
        <w:t>))</w:t>
      </w:r>
      <w:r>
        <w:rPr/>
        <w:t xml:space="preserve"> </w:t>
      </w:r>
      <w:r>
        <w:rPr>
          <w:u w:val="single"/>
        </w:rPr>
        <w:t xml:space="preserve">chapter 288, Laws of 2008</w:t>
      </w:r>
      <w:r>
        <w:rPr/>
        <w:t xml:space="preserve">, a manufacturer of a children's product, or a trade organization on behalf of its member manufacturers, shall provide notice to the department that the manufacturer's product contains a high priority chemical. </w:t>
      </w:r>
      <w:r>
        <w:rPr>
          <w:u w:val="single"/>
        </w:rPr>
        <w:t xml:space="preserve">Beginning January 1, 2019, a manufacturer of consumer or children's electronic products specified in RCW 70.240.010(4)(b)(viii) shall provide notice to the department that the manufacturer's product contains a high priority chemical.</w:t>
      </w:r>
      <w:r>
        <w:rPr/>
        <w:t xml:space="preserve">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
      <w:pPr>
        <w:jc w:val="center"/>
      </w:pPr>
      <w:r>
        <w:rPr>
          <w:b/>
        </w:rPr>
        <w:t>--- END ---</w:t>
      </w:r>
    </w:p>
    <w:sectPr>
      <w:pgNumType w:start="1"/>
      <w:footerReference xmlns:r="http://schemas.openxmlformats.org/officeDocument/2006/relationships" r:id="Rcc1b7abf0c9e47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cd3d576f104348" /><Relationship Type="http://schemas.openxmlformats.org/officeDocument/2006/relationships/footer" Target="/word/footer.xml" Id="Rcc1b7abf0c9e47ab" /></Relationships>
</file>