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30e5bdf2284a2c" /></Relationships>
</file>

<file path=word/document.xml><?xml version="1.0" encoding="utf-8"?>
<w:document xmlns:w="http://schemas.openxmlformats.org/wordprocessingml/2006/main">
  <w:body>
    <w:p>
      <w:r>
        <w:t>H-3379.1</w:t>
      </w:r>
    </w:p>
    <w:p>
      <w:pPr>
        <w:jc w:val="center"/>
      </w:pPr>
      <w:r>
        <w:t>_______________________________________________</w:t>
      </w:r>
    </w:p>
    <w:p/>
    <w:p>
      <w:pPr>
        <w:jc w:val="center"/>
      </w:pPr>
      <w:r>
        <w:rPr>
          <w:b/>
        </w:rPr>
        <w:t>HOUSE BILL 2642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McCaslin, Pettigrew, Harmsworth, Shea, Dolan, Dent, Bergquist, Holy, and Young</w:t>
      </w:r>
    </w:p>
    <w:p/>
    <w:p>
      <w:r>
        <w:rPr>
          <w:t xml:space="preserve">Read first time 01/11/18.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children, youth, and families to provide a written explanation for a determination of unsuitability for unsupervised access to children in care; reenacting and amending RCW 43.216.270;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2017 3rd sp.s. c 33 s 6 and 2017 3rd sp.s. c 6 s 206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u w:val="single"/>
        </w:rPr>
        <w:t xml:space="preserve">(k) If the department determines that an individual is not
suitable to be qualified to have unsupervised access to children in
care, the department shall provide that individual with a written
explanation detailing the reasons for the department's determination
of unsuitability.</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d3555abdd8f74a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b5b3315f84ad7" /><Relationship Type="http://schemas.openxmlformats.org/officeDocument/2006/relationships/footer" Target="/word/footer.xml" Id="Rd3555abdd8f74a63" /></Relationships>
</file>