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161992389146c8" /></Relationships>
</file>

<file path=word/document.xml><?xml version="1.0" encoding="utf-8"?>
<w:document xmlns:w="http://schemas.openxmlformats.org/wordprocessingml/2006/main">
  <w:body>
    <w:p>
      <w:r>
        <w:t>H-3658.1</w:t>
      </w:r>
    </w:p>
    <w:p>
      <w:pPr>
        <w:jc w:val="center"/>
      </w:pPr>
      <w:r>
        <w:t>_______________________________________________</w:t>
      </w:r>
    </w:p>
    <w:p/>
    <w:p>
      <w:pPr>
        <w:jc w:val="center"/>
      </w:pPr>
      <w:r>
        <w:rPr>
          <w:b/>
        </w:rPr>
        <w:t>HOUSE BILL 2685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Harris, Santos, Johnson, Caldier, Dolan, Ormsby, Valdez, Steele, Frame, Jinkins, Bergquist, Doglio, McBride, Sells, Tarleton, and Pollet</w:t>
      </w:r>
    </w:p>
    <w:p/>
    <w:p>
      <w:r>
        <w:rPr>
          <w:t xml:space="preserve">Read first time 01/12/18.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preapprenticeship opportunities for high school students;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preapprenticeship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preapprenticeship programs, apprenticeship programs, or both,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 level vocational courses at institutions of higher education and high school curriculum and graduation requirements, including high school and beyond plans required by RCW 28A.230.090. Recommendations provided under this subsection may include recommendations for the development or revision of career and technical education course equivalencies established in accordance with RCW 28A.700.080(1)(b) for college level vocational courses successfully completed by a student while in high school and taken at an institution of higher education;</w:t>
      </w:r>
    </w:p>
    <w:p>
      <w:pPr>
        <w:spacing w:before="0" w:after="0" w:line="408" w:lineRule="exact"/>
        <w:ind w:left="0" w:right="0" w:firstLine="576"/>
        <w:jc w:val="left"/>
      </w:pPr>
      <w:r>
        <w:rPr/>
        <w:t xml:space="preserve">(b) Identifying and removing barriers that prevent the wider exploration and use of preapprenticeship opportunities by high school students and apprenticeship opportunities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preapprenticeship and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
      <w:pPr>
        <w:jc w:val="center"/>
      </w:pPr>
      <w:r>
        <w:rPr>
          <w:b/>
        </w:rPr>
        <w:t>--- END ---</w:t>
      </w:r>
    </w:p>
    <w:sectPr>
      <w:pgNumType w:start="1"/>
      <w:footerReference xmlns:r="http://schemas.openxmlformats.org/officeDocument/2006/relationships" r:id="R5d7b4f60d3754c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4f6f8ce40045ca" /><Relationship Type="http://schemas.openxmlformats.org/officeDocument/2006/relationships/footer" Target="/word/footer.xml" Id="R5d7b4f60d3754c61" /></Relationships>
</file>