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bc75cc9b94e5a" /></Relationships>
</file>

<file path=word/document.xml><?xml version="1.0" encoding="utf-8"?>
<w:document xmlns:w="http://schemas.openxmlformats.org/wordprocessingml/2006/main">
  <w:body>
    <w:p>
      <w:r>
        <w:t>H-3676.1</w:t>
      </w:r>
    </w:p>
    <w:p>
      <w:pPr>
        <w:jc w:val="center"/>
      </w:pPr>
      <w:r>
        <w:t>_______________________________________________</w:t>
      </w:r>
    </w:p>
    <w:p/>
    <w:p>
      <w:pPr>
        <w:jc w:val="center"/>
      </w:pPr>
      <w:r>
        <w:rPr>
          <w:b/>
        </w:rPr>
        <w:t>HOUSE BILL 2732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Johnson, Lytton, Dent, Morris, Chandler, Manweller, and Chapman</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January 1, 2019,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hospital that:</w:t>
      </w:r>
    </w:p>
    <w:p>
      <w:pPr>
        <w:spacing w:before="0" w:after="0" w:line="408" w:lineRule="exact"/>
        <w:ind w:left="0" w:right="0" w:firstLine="576"/>
        <w:jc w:val="left"/>
      </w:pPr>
      <w:r>
        <w:rPr>
          <w:u w:val="single"/>
        </w:rPr>
        <w:t xml:space="preserve">(a) Has less than fifty available acute care beds per the hospital's 2017 department of health year-end report;</w:t>
      </w:r>
    </w:p>
    <w:p>
      <w:pPr>
        <w:spacing w:before="0" w:after="0" w:line="408" w:lineRule="exact"/>
        <w:ind w:left="0" w:right="0" w:firstLine="576"/>
        <w:jc w:val="left"/>
      </w:pPr>
      <w:r>
        <w:rPr>
          <w:u w:val="single"/>
        </w:rPr>
        <w:t xml:space="preserve">(b)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(c) Has combined medicare and medicaid inpatient days greater than fifty percent as reported in the hospital's 2017 cost report.</w:t>
      </w:r>
    </w:p>
    <w:p/>
    <w:p>
      <w:pPr>
        <w:jc w:val="center"/>
      </w:pPr>
      <w:r>
        <w:rPr>
          <w:b/>
        </w:rPr>
        <w:t>--- END ---</w:t>
      </w:r>
    </w:p>
    <w:sectPr>
      <w:pgNumType w:start="1"/>
      <w:footerReference xmlns:r="http://schemas.openxmlformats.org/officeDocument/2006/relationships" r:id="R5700c2daadee42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e1a1a6e744d29" /><Relationship Type="http://schemas.openxmlformats.org/officeDocument/2006/relationships/footer" Target="/word/footer.xml" Id="R5700c2daadee428c" /></Relationships>
</file>