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f882994af41e2" /></Relationships>
</file>

<file path=word/document.xml><?xml version="1.0" encoding="utf-8"?>
<w:document xmlns:w="http://schemas.openxmlformats.org/wordprocessingml/2006/main">
  <w:body>
    <w:p>
      <w:r>
        <w:t>H-4263.1</w:t>
      </w:r>
    </w:p>
    <w:p>
      <w:pPr>
        <w:jc w:val="center"/>
      </w:pPr>
      <w:r>
        <w:t>_______________________________________________</w:t>
      </w:r>
    </w:p>
    <w:p/>
    <w:p>
      <w:pPr>
        <w:jc w:val="center"/>
      </w:pPr>
      <w:r>
        <w:rPr>
          <w:b/>
        </w:rPr>
        <w:t>SUBSTITUTE HOUSE BILL 2737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Local Government (originally sponsored by Representatives Appleton, Nealey, McBride, Lytton, Peterson, Griffey, Doglio, and Wylie)</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constitutional and statutory obligations and tax revenue capacity of local government entities;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conduct a study that analyzes local governments' revenue capacity in relation to its constitutional and statutory obligations. At a minimum, the study must include:</w:t>
      </w:r>
    </w:p>
    <w:p>
      <w:pPr>
        <w:spacing w:before="0" w:after="0" w:line="408" w:lineRule="exact"/>
        <w:ind w:left="0" w:right="0" w:firstLine="576"/>
        <w:jc w:val="left"/>
      </w:pPr>
      <w:r>
        <w:rPr/>
        <w:t xml:space="preserve">(a) A comparison of county expenditures for services provided as agents of the state compared to the state and local revenue capacity for state services;</w:t>
      </w:r>
    </w:p>
    <w:p>
      <w:pPr>
        <w:spacing w:before="0" w:after="0" w:line="408" w:lineRule="exact"/>
        <w:ind w:left="0" w:right="0" w:firstLine="576"/>
        <w:jc w:val="left"/>
      </w:pPr>
      <w:r>
        <w:rPr/>
        <w:t xml:space="preserve">(b) An analysis of where funding gaps are most pronounced, such as by issue area and specific areas of the state;</w:t>
      </w:r>
    </w:p>
    <w:p>
      <w:pPr>
        <w:spacing w:before="0" w:after="0" w:line="408" w:lineRule="exact"/>
        <w:ind w:left="0" w:right="0" w:firstLine="576"/>
        <w:jc w:val="left"/>
      </w:pPr>
      <w:r>
        <w:rPr/>
        <w:t xml:space="preserve">(c) How the situation has changed over the last thirty years; and</w:t>
      </w:r>
    </w:p>
    <w:p>
      <w:pPr>
        <w:spacing w:before="0" w:after="0" w:line="408" w:lineRule="exact"/>
        <w:ind w:left="0" w:right="0" w:firstLine="576"/>
        <w:jc w:val="left"/>
      </w:pPr>
      <w:r>
        <w:rPr/>
        <w:t xml:space="preserve">(d) Baseline data and a methodology that can be replicated in future studies and analysis.</w:t>
      </w:r>
    </w:p>
    <w:p>
      <w:pPr>
        <w:spacing w:before="0" w:after="0" w:line="408" w:lineRule="exact"/>
        <w:ind w:left="0" w:right="0" w:firstLine="576"/>
        <w:jc w:val="left"/>
      </w:pPr>
      <w:r>
        <w:rPr/>
        <w:t xml:space="preserve">(2) An interim report focusing on the results of subsection (1)(a) of this section must be presented to the governor and appropriate committees of the legislature by or before December 31, 2018. The final report must be presented to the governor and appropriate committees of the legislature by or before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fiscal biennium ending June 30, 2019, from the liquor revolving fund to the department of commerce for the purposes of section 1 of this act.</w:t>
      </w:r>
    </w:p>
    <w:p/>
    <w:p>
      <w:pPr>
        <w:jc w:val="center"/>
      </w:pPr>
      <w:r>
        <w:rPr>
          <w:b/>
        </w:rPr>
        <w:t>--- END ---</w:t>
      </w:r>
    </w:p>
    <w:sectPr>
      <w:pgNumType w:start="1"/>
      <w:footerReference xmlns:r="http://schemas.openxmlformats.org/officeDocument/2006/relationships" r:id="R5583c8c4c41d4b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36695e9554ded" /><Relationship Type="http://schemas.openxmlformats.org/officeDocument/2006/relationships/footer" Target="/word/footer.xml" Id="R5583c8c4c41d4b31" /></Relationships>
</file>