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9a3f7f60c34dcf" /></Relationships>
</file>

<file path=word/document.xml><?xml version="1.0" encoding="utf-8"?>
<w:document xmlns:w="http://schemas.openxmlformats.org/wordprocessingml/2006/main">
  <w:body>
    <w:p>
      <w:r>
        <w:t>H-4476.1</w:t>
      </w:r>
    </w:p>
    <w:p>
      <w:pPr>
        <w:jc w:val="center"/>
      </w:pPr>
      <w:r>
        <w:t>_______________________________________________</w:t>
      </w:r>
    </w:p>
    <w:p/>
    <w:p>
      <w:pPr>
        <w:jc w:val="center"/>
      </w:pPr>
      <w:r>
        <w:rPr>
          <w:b/>
        </w:rPr>
        <w:t>SUBSTITUTE HOUSE BILL 2778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Jinkins, Stambaugh, Fitzgibbon, Gregerson, Caldier, Kilduff, Tharinger, Hansen, Orwall, Wylie, Stonier, Bergquist, Clibborn, Dolan, McBride, Kraft, Macri, Senn, Reeves, Haler, Riccelli, Valdez, Sawyer, Tarleton, Frame, Doglio, Fey, Robinson, Pollet, Kloba, Stanford, and Santos)</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personal information from disclosure for persons who make claims of sexual harassment; reenacting and amending RCW 42.56.250; and adding new sections to chapter 42.56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2017 c 38 s 1 and 2017 c 16 s 1 are each reenacted and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Except as provided in RCW 47.64.220, salary and benefit information for maritime employees collected from private employers under RCW 47.64.220(1) and described in RCW 47.64.220(2);</w:t>
      </w:r>
    </w:p>
    <w:p>
      <w:pPr>
        <w:spacing w:before="0" w:after="0" w:line="408" w:lineRule="exact"/>
        <w:ind w:left="0" w:right="0" w:firstLine="576"/>
        <w:jc w:val="left"/>
      </w:pPr>
      <w:r>
        <w:rPr/>
        <w:t xml:space="preserve">(9)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 </w:t>
      </w:r>
      <w:r>
        <w:t>((</w:t>
      </w:r>
      <w:r>
        <w:rPr>
          <w:strike/>
        </w:rPr>
        <w:t xml:space="preserve">and</w:t>
      </w:r>
      <w:r>
        <w:t>))</w:t>
      </w:r>
    </w:p>
    <w:p>
      <w:pPr>
        <w:spacing w:before="0" w:after="0" w:line="408" w:lineRule="exact"/>
        <w:ind w:left="0" w:right="0" w:firstLine="576"/>
        <w:jc w:val="left"/>
      </w:pPr>
      <w:r>
        <w:rPr/>
        <w:t xml:space="preserve">(10) The global positioning system data that would indicate the location of the residence of a public employee or volunteer using the global positioning system recording device</w:t>
      </w:r>
      <w:r>
        <w:rPr>
          <w:u w:val="single"/>
        </w:rPr>
        <w:t xml:space="preserve">; and</w:t>
      </w:r>
    </w:p>
    <w:p>
      <w:pPr>
        <w:spacing w:before="0" w:after="0" w:line="408" w:lineRule="exact"/>
        <w:ind w:left="0" w:right="0" w:firstLine="576"/>
        <w:jc w:val="left"/>
      </w:pPr>
      <w:r>
        <w:rPr>
          <w:u w:val="single"/>
        </w:rPr>
        <w:t xml:space="preserve">(11) Information that identifies an agency employee who has made a claim with the employing agency of sexual harassment and has requested that his or her identity or any identifying information not be disclosed without his or her consent, except for the name of the agency employee who made the claim and receives a monetary settlement from the agency arising out of the claim of sexual harassment. The agency must notify the employee who makes a claim of sexual harassment that the employee may request that his or her identity or any identifying information not be disclosed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Any person who requests and obtains the identity or identifying information of an agency employee that has made a claim of sexual harassment and uses such information to harass, stalk, threaten, or intimidate that employee, is subject to civil liability.</w:t>
      </w:r>
    </w:p>
    <w:p>
      <w:pPr>
        <w:spacing w:before="0" w:after="0" w:line="408" w:lineRule="exact"/>
        <w:ind w:left="0" w:right="0" w:firstLine="576"/>
        <w:jc w:val="left"/>
      </w:pPr>
      <w:r>
        <w:rPr/>
        <w:t xml:space="preserve">(2) Any person liable under subsection (1) of this section may be sued in superior court by any aggrieved party, or in the name of the state by the attorney general or the prosecuting authority of any political subdivision. The court may order an appropriate civil remedy. The plaintiff may recover up to one thousand dollars for each record used in violation of this section, as well as costs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By January 1, 2023, the public records exemptions accountability committee, in addition to its duties in RCW 42.56.140, must prepare and submit a report to the legislature that includes recommendations on whether the exemption created in section 1, chapter . . ., Laws of 2018 (section 1 of this act) should be continued, modified, or terminated, in accordance with its authority under RCW 42.56.140.</w:t>
      </w:r>
    </w:p>
    <w:p/>
    <w:p>
      <w:pPr>
        <w:jc w:val="center"/>
      </w:pPr>
      <w:r>
        <w:rPr>
          <w:b/>
        </w:rPr>
        <w:t>--- END ---</w:t>
      </w:r>
    </w:p>
    <w:sectPr>
      <w:pgNumType w:start="1"/>
      <w:footerReference xmlns:r="http://schemas.openxmlformats.org/officeDocument/2006/relationships" r:id="R157a658fb5f74a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40124c2af84625" /><Relationship Type="http://schemas.openxmlformats.org/officeDocument/2006/relationships/footer" Target="/word/footer.xml" Id="R157a658fb5f74af5" /></Relationships>
</file>