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dbf8531b34d04" /></Relationships>
</file>

<file path=word/document.xml><?xml version="1.0" encoding="utf-8"?>
<w:document xmlns:w="http://schemas.openxmlformats.org/wordprocessingml/2006/main">
  <w:body>
    <w:p>
      <w:r>
        <w:t>H-3759.2</w:t>
      </w:r>
    </w:p>
    <w:p>
      <w:pPr>
        <w:jc w:val="center"/>
      </w:pPr>
      <w:r>
        <w:t>_______________________________________________</w:t>
      </w:r>
    </w:p>
    <w:p/>
    <w:p>
      <w:pPr>
        <w:jc w:val="center"/>
      </w:pPr>
      <w:r>
        <w:rPr>
          <w:b/>
        </w:rPr>
        <w:t>HOUSE BILL 2834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Caldier, Muri, Young, and Appleton</w:t>
      </w:r>
    </w:p>
    <w:p/>
    <w:p>
      <w:r>
        <w:rPr>
          <w:t xml:space="preserve">Read first time 01/17/18.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equitable debt service repayment plan for the Tacoma Narrows bridge; adding new sections to chapter 47.56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To offset the toll rate increases that would otherwise be necessary to meet increases in future debt service payments, the legislature intends to set forth state contributions in the transportation budget for each fiscal biennium through the life of the debt service plan of up to one hundred twenty-five million dollars in order to maintain tolls at the fiscal year 2018 level and to maintain tolls only until the debt service and deferred sales tax obligation is fully met according to the repayment schedule in place as of the effective date of this section.</w:t>
      </w:r>
    </w:p>
    <w:p>
      <w:pPr>
        <w:spacing w:before="0" w:after="0" w:line="408" w:lineRule="exact"/>
        <w:ind w:left="0" w:right="0" w:firstLine="576"/>
        <w:jc w:val="left"/>
      </w:pPr>
      <w:r>
        <w:rPr/>
        <w:t xml:space="preserve">(5) This section expires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transportation commission shall submit to the transportation committees of the legislature on a biennial basis a report that includes sufficient information to enable the legislature to determine the amount of contribution from nontoll sources required for each fiscal biennium to maintain tolls at the fiscal year 2018 level, while also maintaining the debt service plan repayment schedule in place as of the effective date of this section. The report must be submitted by January 5th of each odd-numbered year.</w:t>
      </w:r>
    </w:p>
    <w:p>
      <w:pPr>
        <w:spacing w:before="0" w:after="0" w:line="408" w:lineRule="exact"/>
        <w:ind w:left="0" w:right="0" w:firstLine="576"/>
        <w:jc w:val="left"/>
      </w:pPr>
      <w:r>
        <w:rPr/>
        <w:t xml:space="preserve">(2) This section expires June 30, 2032.</w:t>
      </w:r>
    </w:p>
    <w:p/>
    <w:p>
      <w:pPr>
        <w:jc w:val="center"/>
      </w:pPr>
      <w:r>
        <w:rPr>
          <w:b/>
        </w:rPr>
        <w:t>--- END ---</w:t>
      </w:r>
    </w:p>
    <w:sectPr>
      <w:pgNumType w:start="1"/>
      <w:footerReference xmlns:r="http://schemas.openxmlformats.org/officeDocument/2006/relationships" r:id="R0009cd79308c46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c42aa64f747f6" /><Relationship Type="http://schemas.openxmlformats.org/officeDocument/2006/relationships/footer" Target="/word/footer.xml" Id="R0009cd79308c460a" /></Relationships>
</file>