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37b34e2e934c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2839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Morris, Slatter, Doglio, and Fitzgibbon)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an alternative form of regulation of electrical and natural gas companies; amending RCW 80.28.005 and 80.28.010; adding a new section to chapter 80.28 RCW;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electrical and natural gas utility industry is facing a transformational change brought on by new technology, rapidly changing costs, and emerging opportunities for customers. The legislature finds that similar changes in technology and customer preferences have swiftly altered other industries and intends for Washington's electrical and natural gas utility regulatory environment to continue to protect consumers while enabling regulated utilities to systematically respond to new technologies and opportunities. The legislature intends to ensure that consumers receive cost-effective and reliable services that are environmentally responsible services by authorizing the Washington utilities and transportation commission to employ alternative forms of regulation to traditional rate-based, rate of return regulation for electrical and gas companies. The legislature finds that a similar update to the utilities and transportation commission's statutory grant of authority for telecommunications customers a decade ago serves as a reasonable model. The legislature intends that the utilities and transportation commission will utilize alternative forms of regulation to further the state's public policy goals by ensuring that electrical and gas companies are incentivized to invest to meet state policy objectives.</w:t>
      </w:r>
    </w:p>
    <w:p>
      <w:pPr>
        <w:spacing w:before="0" w:after="0" w:line="408" w:lineRule="exact"/>
        <w:ind w:left="0" w:right="0" w:firstLine="576"/>
        <w:jc w:val="left"/>
      </w:pPr>
      <w:r>
        <w:rPr/>
        <w:t xml:space="preserve">The legislature intends that an alternative form of regulation should: Enable utility services designed to support optimal and efficient use of the electrical or natural gas system and utility operations; align utility regulatory incentives with the public interest; maintain and enhance overall electrical or natural gas system reliability, resilience, and security; allow electrical or natural gas companies to support and participate in market transformation for enabling technologies, without harming competition; maximize the value of new business opportunities to utility customers, especially low-income customers; protect utility customers from short and long-term risk; ensure an appropriate level of consumer protection; and support the achievement of state emissions reduction goals while avoiding adverse environmental impacts.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(5) "Greenhouse gas" and "greenhouse gases" has the same meaning as defined in RCW 70.235.010.</w:t>
      </w:r>
    </w:p>
    <w:p>
      <w:pPr>
        <w:spacing w:before="0" w:after="0" w:line="408" w:lineRule="exact"/>
        <w:ind w:left="0" w:right="0" w:firstLine="576"/>
        <w:jc w:val="left"/>
      </w:pPr>
      <w:r>
        <w:rPr>
          <w:u w:val="single"/>
        </w:rPr>
        <w:t xml:space="preserve">(6) "Greenhouse gas planning adder" means a calculation of the economic impacts associated with an incremental increase in greenhouse gas emissions in a calendar year and must be an amount equal to the greater of: (a) The minimum annual greenhouse gas planning adder for such a calendar year; or (b) the applicable carbon or greenhouse gas tax rate, if any, as expressed in dollars per metric ton of carbon dioxide or greenhouse gas for such a calendar year.</w:t>
      </w:r>
    </w:p>
    <w:p>
      <w:pPr>
        <w:spacing w:before="0" w:after="0" w:line="408" w:lineRule="exact"/>
        <w:ind w:left="0" w:right="0" w:firstLine="576"/>
        <w:jc w:val="left"/>
      </w:pPr>
      <w:r>
        <w:rPr>
          <w:u w:val="single"/>
        </w:rPr>
        <w:t xml:space="preserve">(7) "Intermediate-term resource options" means a new or renewed contract for electricity or natural gas with a term of more than three but less than five years for the provision of electricity or natural gas to retail end-use customers in this state.</w:t>
      </w:r>
    </w:p>
    <w:p>
      <w:pPr>
        <w:spacing w:before="0" w:after="0" w:line="408" w:lineRule="exact"/>
        <w:ind w:left="0" w:right="0" w:firstLine="576"/>
        <w:jc w:val="left"/>
      </w:pPr>
      <w:r>
        <w:rPr>
          <w:u w:val="single"/>
        </w:rPr>
        <w:t xml:space="preserve">(8) "Long-term resource options" means:</w:t>
      </w:r>
    </w:p>
    <w:p>
      <w:pPr>
        <w:spacing w:before="0" w:after="0" w:line="408" w:lineRule="exact"/>
        <w:ind w:left="0" w:right="0" w:firstLine="576"/>
        <w:jc w:val="left"/>
      </w:pPr>
      <w:r>
        <w:rPr>
          <w:u w:val="single"/>
        </w:rPr>
        <w:t xml:space="preserve">(a) Either a new ownership interest in an electric or gas plant or an upgrade to an existing electric plant; or</w:t>
      </w:r>
    </w:p>
    <w:p>
      <w:pPr>
        <w:spacing w:before="0" w:after="0" w:line="408" w:lineRule="exact"/>
        <w:ind w:left="0" w:right="0" w:firstLine="576"/>
        <w:jc w:val="left"/>
      </w:pPr>
      <w:r>
        <w:rPr>
          <w:u w:val="single"/>
        </w:rPr>
        <w:t xml:space="preserve">(b) A new or renewed contract for electricity or natural gas with a term of five or more years for the provision of electricity or natural gas to retail end-use customers in this state.</w:t>
      </w:r>
    </w:p>
    <w:p>
      <w:pPr>
        <w:spacing w:before="0" w:after="0" w:line="408" w:lineRule="exact"/>
        <w:ind w:left="0" w:right="0" w:firstLine="576"/>
        <w:jc w:val="left"/>
      </w:pPr>
      <w:r>
        <w:rPr>
          <w:u w:val="single"/>
        </w:rPr>
        <w:t xml:space="preserve">(9) "Minimum annual greenhouse gas planning adder" means, for calendar year 2018, forty dollars per metric ton of greenhouse gas, which amount must be increased each January 1st by one and one-fourth percent, rounded to the nearest dollar.</w:t>
      </w:r>
    </w:p>
    <w:p>
      <w:pPr>
        <w:spacing w:before="0" w:after="0" w:line="408" w:lineRule="exact"/>
        <w:ind w:left="0" w:right="0" w:firstLine="576"/>
        <w:jc w:val="left"/>
      </w:pPr>
      <w:r>
        <w:rPr>
          <w:u w:val="single"/>
        </w:rPr>
        <w:t xml:space="preserve">(10) "Qualified biomass energy" has the same meaning as defined in RCW 19.285.030.</w:t>
      </w:r>
    </w:p>
    <w:p>
      <w:pPr>
        <w:spacing w:before="0" w:after="0" w:line="408" w:lineRule="exact"/>
        <w:ind w:left="0" w:right="0" w:firstLine="576"/>
        <w:jc w:val="left"/>
      </w:pPr>
      <w:r>
        <w:rPr>
          <w:u w:val="single"/>
        </w:rPr>
        <w:t xml:space="preserve">(11) "Upgrade" means any modification made for the primary purpose of increasing the electric generation capacity of an electric generation facility. "Upgrade" does not include routine or necessary maintenance, installation of emission control equipment, installation, replacement, or modification of equipment that improves the heat rate of the facility, or installation, replacement, or modification of equipment for the primary purpose of maintaining reliable generation output capability that does not increase the heat input or fuel usage.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(11)(a) Electrical companies, gas companies, and the commission shall use the greenhouse gas planning adder when evaluating and selecting conservation policies, programs, and targets.</w:t>
      </w:r>
    </w:p>
    <w:p>
      <w:pPr>
        <w:spacing w:before="0" w:after="0" w:line="408" w:lineRule="exact"/>
        <w:ind w:left="0" w:right="0" w:firstLine="576"/>
        <w:jc w:val="left"/>
      </w:pPr>
      <w:r>
        <w:rPr>
          <w:u w:val="single"/>
        </w:rPr>
        <w:t xml:space="preserve">(b)(i) Electrical companies shall use the greenhouse gas planning adder in developing and evaluating integrated resource plans pursuant to chapter 19.280 RCW; and</w:t>
      </w:r>
    </w:p>
    <w:p>
      <w:pPr>
        <w:spacing w:before="0" w:after="0" w:line="408" w:lineRule="exact"/>
        <w:ind w:left="0" w:right="0" w:firstLine="576"/>
        <w:jc w:val="left"/>
      </w:pPr>
      <w:r>
        <w:rPr>
          <w:u w:val="single"/>
        </w:rPr>
        <w:t xml:space="preserve">(ii) Gas companies shall use the greenhouse gas planning adder in developing integrated resource plans that describe a mix of natural gas, biogas, or synthetic gas and conservation designated to meet current and future needs at the lowest reasonable costs to the gas company and its customers.</w:t>
      </w:r>
    </w:p>
    <w:p>
      <w:pPr>
        <w:spacing w:before="0" w:after="0" w:line="408" w:lineRule="exact"/>
        <w:ind w:left="0" w:right="0" w:firstLine="576"/>
        <w:jc w:val="left"/>
      </w:pPr>
      <w:r>
        <w:rPr>
          <w:u w:val="single"/>
        </w:rPr>
        <w:t xml:space="preserve">(c) Electrical companies and gas companies shall use the greenhouse gas planning adder in evaluating and selecting intermediate-term and long-term resource options.</w:t>
      </w:r>
    </w:p>
    <w:p>
      <w:pPr>
        <w:spacing w:before="0" w:after="0" w:line="408" w:lineRule="exact"/>
        <w:ind w:left="0" w:right="0" w:firstLine="576"/>
        <w:jc w:val="left"/>
      </w:pPr>
      <w:r>
        <w:rPr>
          <w:u w:val="single"/>
        </w:rPr>
        <w:t xml:space="preserve">(d) The commission shall use the greenhouse gas planning adder in evaluating integrated resource plans and intermediate-term and long-term resource options selected by electrical companies and gas companies under this subsection.</w:t>
      </w:r>
    </w:p>
    <w:p>
      <w:pPr>
        <w:spacing w:before="0" w:after="0" w:line="408" w:lineRule="exact"/>
        <w:ind w:left="0" w:right="0" w:firstLine="576"/>
        <w:jc w:val="left"/>
      </w:pPr>
      <w:r>
        <w:rPr>
          <w:u w:val="single"/>
        </w:rPr>
        <w:t xml:space="preserve">(e) For the purposes of this subsection: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(f) A multistate electric company with retail customers and generation located outside the state of Washington shall use the greenhouse gas planning adder pursuant to this subsection beginning January 1, 2020.</w:t>
      </w:r>
    </w:p>
    <w:p>
      <w:pPr>
        <w:spacing w:before="0" w:after="0" w:line="408" w:lineRule="exact"/>
        <w:ind w:left="0" w:right="0" w:firstLine="576"/>
        <w:jc w:val="left"/>
      </w:pPr>
      <w:r>
        <w:rPr>
          <w:u w:val="single"/>
        </w:rPr>
        <w:t xml:space="preserve">(g) This section takes effect upon the effective date of any act by the legislature that imposes a tax, fee, or other monetary price on the carbon content of fossil fuels and electricity sold or used within the state.</w:t>
      </w:r>
    </w:p>
    <w:p>
      <w:pPr>
        <w:spacing w:before="0" w:after="0" w:line="408" w:lineRule="exact"/>
        <w:ind w:left="0" w:right="0" w:firstLine="576"/>
        <w:jc w:val="left"/>
      </w:pPr>
      <w:r>
        <w:rPr>
          <w:u w:val="single"/>
        </w:rPr>
        <w:t xml:space="preserve">(h) The commission must provide notice of the effective date of this section to affected parties, the chief clerk of the house of representatives, the secretary of the senate, the office of the code reviser, and others as deemed appropriate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declares that changes in technology and the structure of the energy industry may produce conditions under which traditional rate of return, rate-based regulation of electrical and gas companies may not in all cases provide the most efficient and effective means of achieving the legislature's intent and the public policy goals of this state as declared in chapters 19.280 and 19.285 RCW and this title.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(2)(a) Subject to the conditions set forth in this chapter, the commission may regulate an electrical or gas company by authorizing an alternative form of regulation. The commission may determine the manner and extent of any alternative form of regulation as may be appropriate in the public interest, including, but not limited to, authorizing an alternative form of regulation for all or individual utility services.</w:t>
      </w:r>
    </w:p>
    <w:p>
      <w:pPr>
        <w:spacing w:before="0" w:after="0" w:line="408" w:lineRule="exact"/>
        <w:ind w:left="0" w:right="0" w:firstLine="576"/>
        <w:jc w:val="left"/>
      </w:pPr>
      <w:r>
        <w:rPr/>
        <w:t xml:space="preserve">(b) The commission shall consider, to the extent applicable, the extent to which an alternative form of regulation is expected to:</w:t>
      </w:r>
    </w:p>
    <w:p>
      <w:pPr>
        <w:spacing w:before="0" w:after="0" w:line="408" w:lineRule="exact"/>
        <w:ind w:left="0" w:right="0" w:firstLine="576"/>
        <w:jc w:val="left"/>
      </w:pPr>
      <w:r>
        <w:rPr/>
        <w:t xml:space="preserve">(i) Align utility regulatory incentives with the public interest;</w:t>
      </w:r>
    </w:p>
    <w:p>
      <w:pPr>
        <w:spacing w:before="0" w:after="0" w:line="408" w:lineRule="exact"/>
        <w:ind w:left="0" w:right="0" w:firstLine="576"/>
        <w:jc w:val="left"/>
      </w:pPr>
      <w:r>
        <w:rPr/>
        <w:t xml:space="preserve">(ii) Maintain and enhance the ability of the electrical or gas company to furnish safe, adequate, and efficient service to its customers;</w:t>
      </w:r>
    </w:p>
    <w:p>
      <w:pPr>
        <w:spacing w:before="0" w:after="0" w:line="408" w:lineRule="exact"/>
        <w:ind w:left="0" w:right="0" w:firstLine="576"/>
        <w:jc w:val="left"/>
      </w:pPr>
      <w:r>
        <w:rPr/>
        <w:t xml:space="preserve">(iii) Support prudent and efficient use of the electrical or natural gas system and utility operations;</w:t>
      </w:r>
    </w:p>
    <w:p>
      <w:pPr>
        <w:spacing w:before="0" w:after="0" w:line="408" w:lineRule="exact"/>
        <w:ind w:left="0" w:right="0" w:firstLine="576"/>
        <w:jc w:val="left"/>
      </w:pPr>
      <w:r>
        <w:rPr/>
        <w:t xml:space="preserve">(iv) Maintain and enhance overall electrical or natural gas system reliability, security, and resilience;</w:t>
      </w:r>
    </w:p>
    <w:p>
      <w:pPr>
        <w:spacing w:before="0" w:after="0" w:line="408" w:lineRule="exact"/>
        <w:ind w:left="0" w:right="0" w:firstLine="576"/>
        <w:jc w:val="left"/>
      </w:pPr>
      <w:r>
        <w:rPr/>
        <w:t xml:space="preserve">(v) Allow an electrical or gas company to support and participate in market transformation for enabling technologies without harming competition;</w:t>
      </w:r>
    </w:p>
    <w:p>
      <w:pPr>
        <w:spacing w:before="0" w:after="0" w:line="408" w:lineRule="exact"/>
        <w:ind w:left="0" w:right="0" w:firstLine="576"/>
        <w:jc w:val="left"/>
      </w:pPr>
      <w:r>
        <w:rPr/>
        <w:t xml:space="preserve">(vi) Allow an electrical or gas company to be financially indifferent as to: (A) The ownership of the property necessary to furnish service to its customers, except where appropriate for facilities furnished to establish a person as a customer of the electrical or gas company; or (B) the quantity of electricity or gas sold to its customers;</w:t>
      </w:r>
    </w:p>
    <w:p>
      <w:pPr>
        <w:spacing w:before="0" w:after="0" w:line="408" w:lineRule="exact"/>
        <w:ind w:left="0" w:right="0" w:firstLine="576"/>
        <w:jc w:val="left"/>
      </w:pPr>
      <w:r>
        <w:rPr/>
        <w:t xml:space="preserve">(vii) Reasonably protect customers, including low-income customers, from associated short and long-term risks;</w:t>
      </w:r>
    </w:p>
    <w:p>
      <w:pPr>
        <w:spacing w:before="0" w:after="0" w:line="408" w:lineRule="exact"/>
        <w:ind w:left="0" w:right="0" w:firstLine="576"/>
        <w:jc w:val="left"/>
      </w:pPr>
      <w:r>
        <w:rPr/>
        <w:t xml:space="preserve">(viii) Ensure an appropriate level of consumer protection;</w:t>
      </w:r>
    </w:p>
    <w:p>
      <w:pPr>
        <w:spacing w:before="0" w:after="0" w:line="408" w:lineRule="exact"/>
        <w:ind w:left="0" w:right="0" w:firstLine="576"/>
        <w:jc w:val="left"/>
      </w:pPr>
      <w:r>
        <w:rPr/>
        <w:t xml:space="preserve">(ix) Support the achievement of state emissions reduction goals;</w:t>
      </w:r>
    </w:p>
    <w:p>
      <w:pPr>
        <w:spacing w:before="0" w:after="0" w:line="408" w:lineRule="exact"/>
        <w:ind w:left="0" w:right="0" w:firstLine="576"/>
        <w:jc w:val="left"/>
      </w:pPr>
      <w:r>
        <w:rPr/>
        <w:t xml:space="preserve">(x) Consider adverse environmental impacts;</w:t>
      </w:r>
    </w:p>
    <w:p>
      <w:pPr>
        <w:spacing w:before="0" w:after="0" w:line="408" w:lineRule="exact"/>
        <w:ind w:left="0" w:right="0" w:firstLine="576"/>
        <w:jc w:val="left"/>
      </w:pPr>
      <w:r>
        <w:rPr/>
        <w:t xml:space="preserve">(xi) Provide the electrical or gas company with the opportunity to earn a reasonable rate of return on investment; and</w:t>
      </w:r>
    </w:p>
    <w:p>
      <w:pPr>
        <w:spacing w:before="0" w:after="0" w:line="408" w:lineRule="exact"/>
        <w:ind w:left="0" w:right="0" w:firstLine="576"/>
        <w:jc w:val="left"/>
      </w:pPr>
      <w:r>
        <w:rPr/>
        <w:t xml:space="preserve">(xii) Provide for broad customer engagement to promote participation by a diversity of customers, particularly underserved communities or segments thereof, in the associated programs to help achieve the criteria identified in this subsection (2)(b).</w:t>
      </w:r>
    </w:p>
    <w:p>
      <w:pPr>
        <w:spacing w:before="0" w:after="0" w:line="408" w:lineRule="exact"/>
        <w:ind w:left="0" w:right="0" w:firstLine="576"/>
        <w:jc w:val="left"/>
      </w:pPr>
      <w:r>
        <w:rPr/>
        <w:t xml:space="preserve">(3) An electrical or gas company may petition the commission to establish an alternative form of regulation. The electrical or gas company shall submit with the petition a plan for an alternative form of regulation, which may include provisions establishing a reasonable range for rate of return on investment. The plan must contain a proposal for transition to the alternative form of regulation and the proposed duration of the plan. The development of a plan, which must include customer and stakeholder input, shall contain a proposal for appropriate performance metrics and enforcement or remedial provisions in the event the company fails to meet such metrics. The commission also may initiate consideration of alternative forms of regulation for a company or companies on its own motion. The commission, after notice and hearing, shall issue an order accepting, modifying, or rejecting the plan within eleven months after the petition or motion is filed, unless extended by the commission for good cause. Nothing in this section may be interpreted as requiring an electrical or gas company to submit a petition for a plan for an alternative form of regulation as part of or concurrent with a general rate case or other proceeding for recovery of costs of such a company.</w:t>
      </w:r>
    </w:p>
    <w:p>
      <w:pPr>
        <w:spacing w:before="0" w:after="0" w:line="408" w:lineRule="exact"/>
        <w:ind w:left="0" w:right="0" w:firstLine="576"/>
        <w:jc w:val="left"/>
      </w:pPr>
      <w:r>
        <w:rPr/>
        <w:t xml:space="preserve">(4) Not later than sixty days from the entry of the commission's order, the electrical or gas company affected by the order shall file with the commission: (a) An election to proceed with the alternative form of regulation as authorized by the commission; or (b) an election not to proceed with the alternative form of regulation as authorized by the commission.</w:t>
      </w:r>
    </w:p>
    <w:p>
      <w:pPr>
        <w:spacing w:before="0" w:after="0" w:line="408" w:lineRule="exact"/>
        <w:ind w:left="0" w:right="0" w:firstLine="576"/>
        <w:jc w:val="left"/>
      </w:pPr>
      <w:r>
        <w:rPr/>
        <w:t xml:space="preserve">(5) The commission may waive such a regulatory requirement under this title for an electrical or gas company subject to an alternative form of regulation as may be appropriate to facilitate the implementation of this section. However, as part of a proceeding to consider alternative forms of regulation, the commission may not waive any grant of legal rights to any person contained in this chapter and chapter 80.04 RCW. The commission may waive different regulatory requirements for different electrical or gas companies or services if the different treatment is in the public interest.</w:t>
      </w:r>
    </w:p>
    <w:p>
      <w:pPr>
        <w:spacing w:before="0" w:after="0" w:line="408" w:lineRule="exact"/>
        <w:ind w:left="0" w:right="0" w:firstLine="576"/>
        <w:jc w:val="left"/>
      </w:pPr>
      <w:r>
        <w:rPr/>
        <w:t xml:space="preserve">(6) Upon petition by the electrical or gas company, or on motion by the commission when evaluating the achievement of metrics developed in subsection (3) of this section, and after notice and hearing, the commission may rescind or modify an alternative form of regulation in the manner requested by the electrical or gas company.</w:t>
      </w:r>
    </w:p>
    <w:p>
      <w:pPr>
        <w:spacing w:before="0" w:after="0" w:line="408" w:lineRule="exact"/>
        <w:ind w:left="0" w:right="0" w:firstLine="576"/>
        <w:jc w:val="left"/>
      </w:pPr>
      <w:r>
        <w:rPr/>
        <w:t xml:space="preserve">(7) The commission or any person may file a complaint under RCW 80.04.110 alleging that an electrical or gas company under an alternative form of regulation has not complied with the terms and conditions set forth in the alternative form of regulation. The complainant bears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0" w:after="0" w:line="408" w:lineRule="exact"/>
        <w:ind w:left="0" w:right="0" w:firstLine="576"/>
        <w:jc w:val="left"/>
      </w:pPr>
      <w:r>
        <w:rPr/>
        <w:t xml:space="preserve">(9) The provisions of this section apply only to alternative forms of regulation submitted to the commission pursuant to this section. Nothing contained in this section may be construed to alter, amend, repeal, modify, interpret, or be in conflict with this chapter. Nothing in this section may be construed to expand or alter the commission's jurisdiction to regulate in the public interest and ensure just, fair, reasonable, and sufficient rates for electrical and gas companies.</w:t>
      </w:r>
    </w:p>
    <w:p/>
    <w:p>
      <w:pPr>
        <w:jc w:val="center"/>
      </w:pPr>
      <w:r>
        <w:rPr>
          <w:b/>
        </w:rPr>
        <w:t>--- END ---</w:t>
      </w:r>
    </w:p>
    <w:sectPr>
      <w:pgNumType w:start="1"/>
      <w:footerReference xmlns:r="http://schemas.openxmlformats.org/officeDocument/2006/relationships" r:id="R62b8e6a9299f4f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f1720c50974706" /><Relationship Type="http://schemas.openxmlformats.org/officeDocument/2006/relationships/footer" Target="/word/footer.xml" Id="R62b8e6a9299f4f91" /></Relationships>
</file>