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e8c42193a4778" /></Relationships>
</file>

<file path=word/document.xml><?xml version="1.0" encoding="utf-8"?>
<w:document xmlns:w="http://schemas.openxmlformats.org/wordprocessingml/2006/main">
  <w:body>
    <w:p>
      <w:r>
        <w:t>H-4307.2</w:t>
      </w:r>
    </w:p>
    <w:p>
      <w:pPr>
        <w:jc w:val="center"/>
      </w:pPr>
      <w:r>
        <w:t>_______________________________________________</w:t>
      </w:r>
    </w:p>
    <w:p/>
    <w:p>
      <w:pPr>
        <w:jc w:val="center"/>
      </w:pPr>
      <w:r>
        <w:rPr>
          <w:b/>
        </w:rPr>
        <w:t>HOUSE BILL 2957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Peterson, Robinson, Wilcox, Taylor, Stambaugh, Sawyer, Chapman, Pollet, and Stanford</w:t>
      </w:r>
    </w:p>
    <w:p/>
    <w:p>
      <w:r>
        <w:rPr>
          <w:t xml:space="preserve">Read first time 01/30/18.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escape of nonnative finfish from marine finfish aquaculture facilities; amending RCW 77.115.010, 77.115.030, 77.115.040, 77.125.030, 77.12.047, 90.48.220, and 50.04.075; adding a new section to chapter 79.105 RCW; adding new sections to chapter 77.12 RCW; adding a new section to chapter 90.48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On and after the effective date of this section, the department may not enter into a new lease or other use authorization where the use includes marine finfish aquaculture of Atlantic salmon.</w:t>
      </w:r>
    </w:p>
    <w:p>
      <w:pPr>
        <w:spacing w:before="0" w:after="0" w:line="408" w:lineRule="exact"/>
        <w:ind w:left="0" w:right="0" w:firstLine="576"/>
        <w:jc w:val="left"/>
      </w:pPr>
      <w:r>
        <w:rPr/>
        <w:t xml:space="preserve">(2) On and after the effective date of this section, the department may not renew or extend a lease or other use authorization in existence on the effective date of this section where the use includes marine finfish aquaculture of Atlantic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only authorize or permit marine finfish aquaculture of Atlantic salmon where it is an authorized use under a lease of state-owned aquatic lands in effect on the effective date of this section.</w:t>
      </w:r>
    </w:p>
    <w:p>
      <w:pPr>
        <w:spacing w:before="0" w:after="0" w:line="408" w:lineRule="exact"/>
        <w:ind w:left="0" w:right="0" w:firstLine="576"/>
        <w:jc w:val="left"/>
      </w:pPr>
      <w:r>
        <w:rPr/>
        <w:t xml:space="preserve">(2) For marine finfish aquaculture of Atlantic salmon that qualifies under subsection (1) of this section, the department may not authorize or permit any such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(3) For purposes of this section, "state-owned aquatic lands" has the meaning provided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only authorize or permit marine finfish aquaculture of Atlantic salmon where it is an authorized use under a lease of state-owned aquatic lands in effect on the effective date of this section.</w:t>
      </w:r>
    </w:p>
    <w:p>
      <w:pPr>
        <w:spacing w:before="0" w:after="0" w:line="408" w:lineRule="exact"/>
        <w:ind w:left="0" w:right="0" w:firstLine="576"/>
        <w:jc w:val="left"/>
      </w:pPr>
      <w:r>
        <w:rPr/>
        <w:t xml:space="preserve">(2) For marine finfish aquaculture of Atlantic salmon that qualifies under subsection (1) of this section, the department may not authorize or permit any such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(3) For purposes of this section, "state-owned aquatic lands" has the meaning provided in RCW 79.105.060.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2 and 12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natural resources, and fish and wildlife must continue the existing effort to update guidance and informational resources to industry and governments for planning and permitting commercial marine net pen aquaculture.</w:t>
      </w:r>
    </w:p>
    <w:p>
      <w:pPr>
        <w:spacing w:before="0" w:after="0" w:line="408" w:lineRule="exact"/>
        <w:ind w:left="0" w:right="0" w:firstLine="576"/>
        <w:jc w:val="left"/>
      </w:pPr>
      <w:r>
        <w:rPr/>
        <w:t xml:space="preserve">(2)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eliminate commercial marine net pen escapement and negative impacts to water quality and native fish, shellfish, and wildlife.</w:t>
      </w:r>
    </w:p>
    <w:p>
      <w:pPr>
        <w:spacing w:before="0" w:after="0" w:line="408" w:lineRule="exact"/>
        <w:ind w:left="0" w:right="0" w:firstLine="576"/>
        <w:jc w:val="left"/>
      </w:pPr>
      <w:r>
        <w:rPr/>
        <w:t xml:space="preserve">(3) The guidance and resources must be completed by June 30, 2019.</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marine finfish aquaculture of Atlantic salmon authorized or permitted consistent with section 2 of this act,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Atlantic salmon, the director may require the operator to remove fish or deny a fish transfer permit.</w:t>
      </w:r>
    </w:p>
    <w:p/>
    <w:p>
      <w:pPr>
        <w:jc w:val="center"/>
      </w:pPr>
      <w:r>
        <w:rPr>
          <w:b/>
        </w:rPr>
        <w:t>--- END ---</w:t>
      </w:r>
    </w:p>
    <w:sectPr>
      <w:pgNumType w:start="1"/>
      <w:footerReference xmlns:r="http://schemas.openxmlformats.org/officeDocument/2006/relationships" r:id="Ra3b0284fcb7c4f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a4497cef041f3" /><Relationship Type="http://schemas.openxmlformats.org/officeDocument/2006/relationships/footer" Target="/word/footer.xml" Id="Ra3b0284fcb7c4f8f" /></Relationships>
</file>