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5622fd8ac4779" /></Relationships>
</file>

<file path=word/document.xml><?xml version="1.0" encoding="utf-8"?>
<w:document xmlns:w="http://schemas.openxmlformats.org/wordprocessingml/2006/main">
  <w:body>
    <w:p>
      <w:r>
        <w:t>H-4191.1</w:t>
      </w:r>
    </w:p>
    <w:p>
      <w:pPr>
        <w:jc w:val="center"/>
      </w:pPr>
      <w:r>
        <w:t>_______________________________________________</w:t>
      </w:r>
    </w:p>
    <w:p/>
    <w:p>
      <w:pPr>
        <w:jc w:val="center"/>
      </w:pPr>
      <w:r>
        <w:rPr>
          <w:b/>
        </w:rPr>
        <w:t>HOUSE BILL 2977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Shea, McCabe, and Holy</w:t>
      </w:r>
    </w:p>
    <w:p/>
    <w:p>
      <w:r>
        <w:rPr>
          <w:t xml:space="preserve">Read first time 01/31/18.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individuals required by law to be terminated from employment and the unemployment insurance experience rating for affected employers; and amending RCW 50.04.294, 50.20.066, and 50.29.021.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294</w:t>
      </w:r>
      <w:r>
        <w:rPr/>
        <w:t xml:space="preserve"> and 2006 c 13 s 9 are each amended to read as follows:</w:t>
      </w:r>
    </w:p>
    <w:p>
      <w:pPr>
        <w:spacing w:before="0" w:after="0" w:line="408" w:lineRule="exact"/>
        <w:ind w:left="0" w:right="0" w:firstLine="576"/>
        <w:jc w:val="left"/>
      </w:pPr>
      <w:r>
        <w:rPr/>
        <w:t xml:space="preserve">With respect to claims that have an effective date on or after January 4, 2004:</w:t>
      </w:r>
    </w:p>
    <w:p>
      <w:pPr>
        <w:spacing w:before="0" w:after="0" w:line="408" w:lineRule="exact"/>
        <w:ind w:left="0" w:right="0" w:firstLine="576"/>
        <w:jc w:val="left"/>
      </w:pPr>
      <w:r>
        <w:rPr/>
        <w:t xml:space="preserve">(1) "Misconduct" includes, but is not limited to, the following conduct by a claimant:</w:t>
      </w:r>
    </w:p>
    <w:p>
      <w:pPr>
        <w:spacing w:before="0" w:after="0" w:line="408" w:lineRule="exact"/>
        <w:ind w:left="0" w:right="0" w:firstLine="576"/>
        <w:jc w:val="left"/>
      </w:pPr>
      <w:r>
        <w:rPr/>
        <w:t xml:space="preserve">(a) Willful or wanton disregard of the rights, title, and interests of the employer or a fellow employee;</w:t>
      </w:r>
    </w:p>
    <w:p>
      <w:pPr>
        <w:spacing w:before="0" w:after="0" w:line="408" w:lineRule="exact"/>
        <w:ind w:left="0" w:right="0" w:firstLine="576"/>
        <w:jc w:val="left"/>
      </w:pPr>
      <w:r>
        <w:rPr/>
        <w:t xml:space="preserve">(b) Deliberate violations or disregard of standards of behavior which the employer has the right to expect of an employee;</w:t>
      </w:r>
    </w:p>
    <w:p>
      <w:pPr>
        <w:spacing w:before="0" w:after="0" w:line="408" w:lineRule="exact"/>
        <w:ind w:left="0" w:right="0" w:firstLine="576"/>
        <w:jc w:val="left"/>
      </w:pPr>
      <w:r>
        <w:rPr/>
        <w:t xml:space="preserve">(c) Carelessness or negligence that causes or would likely cause serious bodily harm to the employer or a fellow employee; or</w:t>
      </w:r>
    </w:p>
    <w:p>
      <w:pPr>
        <w:spacing w:before="0" w:after="0" w:line="408" w:lineRule="exact"/>
        <w:ind w:left="0" w:right="0" w:firstLine="576"/>
        <w:jc w:val="left"/>
      </w:pPr>
      <w:r>
        <w:rPr/>
        <w:t xml:space="preserve">(d) Carelessness or negligence of such degree or recurrence to show an intentional or substantial disregard of the employer's interest.</w:t>
      </w:r>
    </w:p>
    <w:p>
      <w:pPr>
        <w:spacing w:before="0" w:after="0" w:line="408" w:lineRule="exact"/>
        <w:ind w:left="0" w:right="0" w:firstLine="576"/>
        <w:jc w:val="left"/>
      </w:pPr>
      <w:r>
        <w:rPr/>
        <w:t xml:space="preserve">(2) The following acts are considered misconduct because the acts signify a willful or wanton disregard of the rights, title, and interests of the employer or a fellow employee. These acts include, but are not limited to:</w:t>
      </w:r>
    </w:p>
    <w:p>
      <w:pPr>
        <w:spacing w:before="0" w:after="0" w:line="408" w:lineRule="exact"/>
        <w:ind w:left="0" w:right="0" w:firstLine="576"/>
        <w:jc w:val="left"/>
      </w:pPr>
      <w:r>
        <w:rPr/>
        <w:t xml:space="preserve">(a) Insubordination showing a deliberate, willful, or purposeful refusal to follow the reasonable directions or instructions of the employer;</w:t>
      </w:r>
    </w:p>
    <w:p>
      <w:pPr>
        <w:spacing w:before="0" w:after="0" w:line="408" w:lineRule="exact"/>
        <w:ind w:left="0" w:right="0" w:firstLine="576"/>
        <w:jc w:val="left"/>
      </w:pPr>
      <w:r>
        <w:rPr/>
        <w:t xml:space="preserve">(b) Repeated inexcusable tardiness following warnings by the employer;</w:t>
      </w:r>
    </w:p>
    <w:p>
      <w:pPr>
        <w:spacing w:before="0" w:after="0" w:line="408" w:lineRule="exact"/>
        <w:ind w:left="0" w:right="0" w:firstLine="576"/>
        <w:jc w:val="left"/>
      </w:pPr>
      <w:r>
        <w:rPr/>
        <w:t xml:space="preserve">(c) Dishonesty related to employment, including but not limited to deliberate falsification of company records, theft, deliberate deception, or lying;</w:t>
      </w:r>
    </w:p>
    <w:p>
      <w:pPr>
        <w:spacing w:before="0" w:after="0" w:line="408" w:lineRule="exact"/>
        <w:ind w:left="0" w:right="0" w:firstLine="576"/>
        <w:jc w:val="left"/>
      </w:pPr>
      <w:r>
        <w:rPr/>
        <w:t xml:space="preserve">(d) Repeated and inexcusable absences, including absences for which the employee was able to give advance notice and failed to do so;</w:t>
      </w:r>
    </w:p>
    <w:p>
      <w:pPr>
        <w:spacing w:before="0" w:after="0" w:line="408" w:lineRule="exact"/>
        <w:ind w:left="0" w:right="0" w:firstLine="576"/>
        <w:jc w:val="left"/>
      </w:pPr>
      <w:r>
        <w:rPr/>
        <w:t xml:space="preserve">(e) Deliberate acts that are illegal, provoke violence or violation of laws, or violate the collective bargaining agreement. However, an employee who engages in lawful union activity may not be disqualified due to misconduct;</w:t>
      </w:r>
    </w:p>
    <w:p>
      <w:pPr>
        <w:spacing w:before="0" w:after="0" w:line="408" w:lineRule="exact"/>
        <w:ind w:left="0" w:right="0" w:firstLine="576"/>
        <w:jc w:val="left"/>
      </w:pPr>
      <w:r>
        <w:rPr/>
        <w:t xml:space="preserve">(f) Violation of a company rule if the rule is reasonable and if the claimant knew or should have known of the existence of the rule; or</w:t>
      </w:r>
    </w:p>
    <w:p>
      <w:pPr>
        <w:spacing w:before="0" w:after="0" w:line="408" w:lineRule="exact"/>
        <w:ind w:left="0" w:right="0" w:firstLine="576"/>
        <w:jc w:val="left"/>
      </w:pPr>
      <w:r>
        <w:rPr/>
        <w:t xml:space="preserve">(g) Violations of law by the claimant while acting within the scope of employment that substantially affect the claimant's job performance or that substantially harm the employer's ability to do business.</w:t>
      </w:r>
    </w:p>
    <w:p>
      <w:pPr>
        <w:spacing w:before="0" w:after="0" w:line="408" w:lineRule="exact"/>
        <w:ind w:left="0" w:right="0" w:firstLine="576"/>
        <w:jc w:val="left"/>
      </w:pPr>
      <w:r>
        <w:rPr/>
        <w:t xml:space="preserve">(3) "Misconduct" does not include:</w:t>
      </w:r>
    </w:p>
    <w:p>
      <w:pPr>
        <w:spacing w:before="0" w:after="0" w:line="408" w:lineRule="exact"/>
        <w:ind w:left="0" w:right="0" w:firstLine="576"/>
        <w:jc w:val="left"/>
      </w:pPr>
      <w:r>
        <w:rPr/>
        <w:t xml:space="preserve">(a) Inefficiency, unsatisfactory conduct, or failure to perform well as the result of inability or incapacity;</w:t>
      </w:r>
    </w:p>
    <w:p>
      <w:pPr>
        <w:spacing w:before="0" w:after="0" w:line="408" w:lineRule="exact"/>
        <w:ind w:left="0" w:right="0" w:firstLine="576"/>
        <w:jc w:val="left"/>
      </w:pPr>
      <w:r>
        <w:rPr/>
        <w:t xml:space="preserve">(b) Inadvertence or ordinary negligence in isolated instances; or</w:t>
      </w:r>
    </w:p>
    <w:p>
      <w:pPr>
        <w:spacing w:before="0" w:after="0" w:line="408" w:lineRule="exact"/>
        <w:ind w:left="0" w:right="0" w:firstLine="576"/>
        <w:jc w:val="left"/>
      </w:pPr>
      <w:r>
        <w:rPr/>
        <w:t xml:space="preserve">(c) Good faith errors in judgment or discretion.</w:t>
      </w:r>
    </w:p>
    <w:p>
      <w:pPr>
        <w:spacing w:before="0" w:after="0" w:line="408" w:lineRule="exact"/>
        <w:ind w:left="0" w:right="0" w:firstLine="576"/>
        <w:jc w:val="left"/>
      </w:pPr>
      <w:r>
        <w:rPr/>
        <w:t xml:space="preserve">(4) "Gross misconduct" means</w:t>
      </w:r>
      <w:r>
        <w:rPr>
          <w:u w:val="single"/>
        </w:rPr>
        <w:t xml:space="preserve">:</w:t>
      </w:r>
    </w:p>
    <w:p>
      <w:pPr>
        <w:spacing w:before="0" w:after="0" w:line="408" w:lineRule="exact"/>
        <w:ind w:left="0" w:right="0" w:firstLine="576"/>
        <w:jc w:val="left"/>
      </w:pPr>
      <w:r>
        <w:rPr>
          <w:u w:val="single"/>
        </w:rPr>
        <w:t xml:space="preserve">(a) A</w:t>
      </w:r>
      <w:r>
        <w:rPr/>
        <w:t xml:space="preserve"> criminal act in connection with an individual's work for which the individual has been convicted in a criminal court, or has admitted committing</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C</w:t>
      </w:r>
      <w:r>
        <w:rPr/>
        <w:t xml:space="preserve">onduct connected with the individual's work that demonstrates a flagrant and wanton disregard of and for the rights, title, or interest of the employer or a fellow employee</w:t>
      </w:r>
      <w:r>
        <w:rPr>
          <w:u w:val="single"/>
        </w:rPr>
        <w:t xml:space="preserve">; or</w:t>
      </w:r>
    </w:p>
    <w:p>
      <w:pPr>
        <w:spacing w:before="0" w:after="0" w:line="408" w:lineRule="exact"/>
        <w:ind w:left="0" w:right="0" w:firstLine="576"/>
        <w:jc w:val="left"/>
      </w:pPr>
      <w:r>
        <w:rPr>
          <w:u w:val="single"/>
        </w:rPr>
        <w:t xml:space="preserve">(c) A criminal act for which the individual has been convicted in a criminal court or a finding of fact has been entered, that, due to local, state, or federal law, requires the employer to immediately terminate the individual from employment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066</w:t>
      </w:r>
      <w:r>
        <w:rPr/>
        <w:t xml:space="preserve"> and 2006 c 13 s 13 are each amended to read as follows:</w:t>
      </w:r>
    </w:p>
    <w:p>
      <w:pPr>
        <w:spacing w:before="0" w:after="0" w:line="408" w:lineRule="exact"/>
        <w:ind w:left="0" w:right="0" w:firstLine="576"/>
        <w:jc w:val="left"/>
      </w:pPr>
      <w:r>
        <w:rPr/>
        <w:t xml:space="preserve">With respect to claims that have an effective date on or after January 4, 2004:</w:t>
      </w:r>
    </w:p>
    <w:p>
      <w:pPr>
        <w:spacing w:before="0" w:after="0" w:line="408" w:lineRule="exact"/>
        <w:ind w:left="0" w:right="0" w:firstLine="576"/>
        <w:jc w:val="left"/>
      </w:pPr>
      <w:r>
        <w:rPr/>
        <w:t xml:space="preserve">(1) An individual shall be disqualified from benefits beginning with the first day of the calendar week in which he or she has been discharged or suspended for misconduct connected with his or her work and thereafter for ten calendar weeks and until he or she has obtained bona fide work in employment covered by this title and earned wages in that employment equal to ten times his or her weekly benefit amount. Alcoholism shall not constitute a defense to disqualification from benefits due to misconduct.</w:t>
      </w:r>
    </w:p>
    <w:p>
      <w:pPr>
        <w:spacing w:before="0" w:after="0" w:line="408" w:lineRule="exact"/>
        <w:ind w:left="0" w:right="0" w:firstLine="576"/>
        <w:jc w:val="left"/>
      </w:pPr>
      <w:r>
        <w:rPr/>
        <w:t xml:space="preserve">(2) </w:t>
      </w:r>
      <w:r>
        <w:rPr>
          <w:u w:val="single"/>
        </w:rPr>
        <w:t xml:space="preserve">An individual terminated for gross misconduct related to a criminal act for which the employer is required, under local, state, or federal law, to terminate the individual, is disqualified for all unemployment insurance benefits in connection with employment with that employer.</w:t>
      </w:r>
    </w:p>
    <w:p>
      <w:pPr>
        <w:spacing w:before="0" w:after="0" w:line="408" w:lineRule="exact"/>
        <w:ind w:left="0" w:right="0" w:firstLine="576"/>
        <w:jc w:val="left"/>
      </w:pPr>
      <w:r>
        <w:rPr>
          <w:u w:val="single"/>
        </w:rPr>
        <w:t xml:space="preserve">(3)</w:t>
      </w:r>
      <w:r>
        <w:rPr/>
        <w:t xml:space="preserve"> An individual who has been discharged from his or her work because of gross misconduct shall have all hourly wage credits based on that employment or six hundred eighty hours of wage credits, whichever is greater, canceled.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employer shall notify the department of a felony or gross misdemeanor of which an individual has been convicted, or has admitted committing to a competent authority, not later than six months following the admission or conviction. </w:t>
      </w:r>
      <w:r>
        <w:rPr>
          <w:u w:val="single"/>
        </w:rPr>
        <w:t xml:space="preserve">If the individual is terminated due to a criminal conviction, or a finding of fact, that constitutes gross misconduct under this act, the employer shall notify the department within seven days of terminating the individual's employment.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claimant shall disclose any conviction of the claimant of a work-connected felony or gross misdemeanor occurring in the previous two years to the department at the time of application for benefits.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benefits that are paid in error based on this section are recoverable, notwithstanding RCW 50.20.190 or 50.24.020 or any other provisions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2017 3rd sp.s. c 5 s 83 are each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 </w:t>
      </w:r>
      <w:r>
        <w:t>((</w:t>
      </w:r>
      <w:r>
        <w:rPr>
          <w:strike/>
        </w:rPr>
        <w:t xml:space="preserve">or</w:t>
      </w:r>
      <w:r>
        <w:t>))</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this chapter, and the layoff is due to the return of that permanent employee. This subsection (4)(a)(vii) applies to claims with an effective date on or after January 1, 2020</w:t>
      </w:r>
      <w:r>
        <w:rPr>
          <w:u w:val="single"/>
        </w:rPr>
        <w:t xml:space="preserve">; or</w:t>
      </w:r>
    </w:p>
    <w:p>
      <w:pPr>
        <w:spacing w:before="0" w:after="0" w:line="408" w:lineRule="exact"/>
        <w:ind w:left="0" w:right="0" w:firstLine="576"/>
        <w:jc w:val="left"/>
      </w:pPr>
      <w:r>
        <w:rPr>
          <w:u w:val="single"/>
        </w:rPr>
        <w:t xml:space="preserve">(viii) Was terminated from employment due to pending charges of a criminal act for which the employer is required, under local, state, or federal law, to terminate the individual</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
      <w:pPr>
        <w:jc w:val="center"/>
      </w:pPr>
      <w:r>
        <w:rPr>
          <w:b/>
        </w:rPr>
        <w:t>--- END ---</w:t>
      </w:r>
    </w:p>
    <w:sectPr>
      <w:pgNumType w:start="1"/>
      <w:footerReference xmlns:r="http://schemas.openxmlformats.org/officeDocument/2006/relationships" r:id="R6188dbbb9a6244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97ea6df5b46dc" /><Relationship Type="http://schemas.openxmlformats.org/officeDocument/2006/relationships/footer" Target="/word/footer.xml" Id="R6188dbbb9a62445f" /></Relationships>
</file>