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c82e0881e84b16" /></Relationships>
</file>

<file path=word/document.xml><?xml version="1.0" encoding="utf-8"?>
<w:document xmlns:w="http://schemas.openxmlformats.org/wordprocessingml/2006/main">
  <w:body>
    <w:p>
      <w:r>
        <w:t>H-4297.1</w:t>
      </w:r>
    </w:p>
    <w:p>
      <w:pPr>
        <w:jc w:val="center"/>
      </w:pPr>
      <w:r>
        <w:t>_______________________________________________</w:t>
      </w:r>
    </w:p>
    <w:p/>
    <w:p>
      <w:pPr>
        <w:jc w:val="center"/>
      </w:pPr>
      <w:r>
        <w:rPr>
          <w:b/>
        </w:rPr>
        <w:t>HOUSE BILL 2986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Hudgins, and Wylie</w:t>
      </w:r>
    </w:p>
    <w:p/>
    <w:p>
      <w:r>
        <w:rPr>
          <w:t xml:space="preserve">Read first time 02/06/18.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collected by the secretary of state; amending RCW 43.07.120 and 43.07.170;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w:t>
      </w:r>
      <w:r>
        <w:rPr>
          <w:u w:val="single"/>
        </w:rPr>
        <w:t xml:space="preserve">For each annual report filed by a legal entity;</w:t>
      </w:r>
    </w:p>
    <w:p>
      <w:pPr>
        <w:spacing w:before="0" w:after="0" w:line="408" w:lineRule="exact"/>
        <w:ind w:left="0" w:right="0" w:firstLine="576"/>
        <w:jc w:val="left"/>
      </w:pPr>
      <w:r>
        <w:rPr>
          <w:u w:val="single"/>
        </w:rPr>
        <w:t xml:space="preserve">(f)</w:t>
      </w:r>
      <w:r>
        <w:rPr/>
        <w:t xml:space="preserv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19.34,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0" w:after="0" w:line="408" w:lineRule="exact"/>
        <w:ind w:left="0" w:right="0" w:firstLine="576"/>
        <w:jc w:val="left"/>
      </w:pPr>
      <w:r>
        <w:rPr>
          <w:u w:val="single"/>
        </w:rPr>
        <w:t xml:space="preserve">(6) In addition to other required fees, the secretary of state shall collect a fee of eleven dollars from each legal entity when the legal entity files its annual report. All such fees shall be deposited into the business license account administered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170</w:t>
      </w:r>
      <w:r>
        <w:rPr/>
        <w:t xml:space="preserve"> and 2002 c 74 s 20 are each amended to read as follows:</w:t>
      </w:r>
    </w:p>
    <w:p>
      <w:pPr>
        <w:spacing w:before="0" w:after="0" w:line="408" w:lineRule="exact"/>
        <w:ind w:left="0" w:right="0" w:firstLine="576"/>
        <w:jc w:val="left"/>
      </w:pPr>
      <w:r>
        <w:rPr/>
        <w:t xml:space="preserve">(1) If the secretary of state determines that the public interest and the purpose of the filing and registration statutes administered by the secretary of state would be best served by a filing system utilizing microfilm, microfiche, methods of reduced-format document recording, or electronic or online filing, the secretary of state may, by rule adopted under chapter 34.05 RCW, establish such a filing system.</w:t>
      </w:r>
    </w:p>
    <w:p>
      <w:pPr>
        <w:spacing w:before="0" w:after="0" w:line="408" w:lineRule="exact"/>
        <w:ind w:left="0" w:right="0" w:firstLine="576"/>
        <w:jc w:val="left"/>
      </w:pPr>
      <w:r>
        <w:rPr/>
        <w:t xml:space="preserve">(2) </w:t>
      </w:r>
      <w:r>
        <w:rPr>
          <w:u w:val="single"/>
        </w:rPr>
        <w:t xml:space="preserve">If the secretary of state establishes the filing system identified in subsection (1) of this section, the secretary of state shall collect a fee as established under RCW 43.07.120(6).</w:t>
      </w:r>
    </w:p>
    <w:p>
      <w:pPr>
        <w:spacing w:before="0" w:after="0" w:line="408" w:lineRule="exact"/>
        <w:ind w:left="0" w:right="0" w:firstLine="576"/>
        <w:jc w:val="left"/>
      </w:pPr>
      <w:r>
        <w:rPr>
          <w:u w:val="single"/>
        </w:rPr>
        <w:t xml:space="preserve">(3)</w:t>
      </w:r>
      <w:r>
        <w:rPr/>
        <w:t xml:space="preserve"> In connection with a reduced-format filing system, the secretary of state may eliminate any requirement for a duplicate original filing copy, and may establish reasonable requirements concerning paper size, print legibility, and quality for photo-reproduction processes as may be necessary to ensure utility and readability of any reduced-format filing system.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connection with an electronic or online filing system, the secretary of state may eliminate any requirement for a duplicate original filing copy and may establish reasonable requirements for electronic filing, including but not limited to signature technology, file format and type, delivery, types of filing that may be completed electronically, and methods for the return of filed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a8590bf2b0c40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3fd3f0fc443d8" /><Relationship Type="http://schemas.openxmlformats.org/officeDocument/2006/relationships/footer" Target="/word/footer.xml" Id="R8a8590bf2b0c4011" /></Relationships>
</file>