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0bfb416554f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Klippert, Goodman, Stokesbary, Kilduff, Chapman, McCabe, Hudgins, Jinkins, Ortiz-Self, Bergquist, Stanford, Griffey, Hargrove, Smith, Tarleton, Harmsworth, Ormsby, Muri, Van Werven, Kraft, Fey, Slatter, Sawyer, McBride, and Gregerson;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no-contact orders for human trafficking and promoting prostitution-related offenses; reenacting and amending RCW 26.50.110; adding new sections to chapter 9A.40 RCW; adding new sections to chapter 9A.88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defendant who is charged by citation, complaint, or information with an offense involving trafficking, as described in RCW 9A.40.100, and is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(1) 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or initial appearance in person as soon as practicable, but in no event later than fourteen days after the defendant is served with the citation, complaint, or information. At that appearance, the court shall determine the necessity of imposing or extending a no-contact order, and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general authority Washington peace officer as defined in RCW 10.93.020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5157dfb83d654b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7f8b9224743dd" /><Relationship Type="http://schemas.openxmlformats.org/officeDocument/2006/relationships/footer" Target="/word/footer.xml" Id="R5157dfb83d654b4d" /></Relationships>
</file>