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3f07daf3446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1136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Dye, Blake, Haler, Shea, Taylor, Farrell, Dent, Nealey, Manweller, Short, Muri, Schmick, Ormsby, Fey, Young, and Buys)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w:t>
      </w:r>
      <w:r>
        <w:rPr>
          <w:u w:val="single"/>
        </w:rPr>
        <w:t xml:space="preserve">(a)</w:t>
      </w:r>
      <w:r>
        <w:rPr/>
        <w:t xml:space="preserve"> The department by rule shall determine the contingency plan requirements for railroads transporting oil in bulk.</w:t>
      </w:r>
    </w:p>
    <w:p>
      <w:pPr>
        <w:spacing w:before="0" w:after="0" w:line="408" w:lineRule="exact"/>
        <w:ind w:left="0" w:right="0" w:firstLine="576"/>
        <w:jc w:val="left"/>
      </w:pPr>
      <w:r>
        <w:rPr>
          <w:u w:val="single"/>
        </w:rPr>
        <w:t xml:space="preserve">(b)</w:t>
      </w:r>
      <w:r>
        <w:rPr>
          <w:u w:val="single"/>
        </w:rPr>
        <w:t xml:space="preserve">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u w:val="single"/>
        </w:rPr>
        <w:t xml:space="preserve">(i) Contracted access to oil spill response equipment; or</w:t>
      </w:r>
    </w:p>
    <w:p>
      <w:pPr>
        <w:spacing w:before="0" w:after="0" w:line="408" w:lineRule="exact"/>
        <w:ind w:left="0" w:right="0" w:firstLine="576"/>
        <w:jc w:val="left"/>
      </w:pPr>
      <w:r>
        <w:rPr>
          <w:u w:val="single"/>
        </w:rPr>
        <w:t xml:space="preserve">(ii) The completion of more than a total of one basic table-top drill every three years to test the contingency plans.</w:t>
      </w:r>
    </w:p>
    <w:p>
      <w:pPr>
        <w:spacing w:before="0" w:after="0" w:line="408" w:lineRule="exact"/>
        <w:ind w:left="0" w:right="0" w:firstLine="576"/>
        <w:jc w:val="left"/>
      </w:pPr>
      <w:r>
        <w:rPr>
          <w:u w:val="single"/>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u w:val="single"/>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u w:val="single"/>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u w:val="single"/>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u w:val="single"/>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u w:val="single"/>
        </w:rPr>
        <w:t xml:space="preserve">(v) Annually review the plan for accuracy.</w:t>
      </w:r>
    </w:p>
    <w:p>
      <w:pPr>
        <w:spacing w:before="0" w:after="0" w:line="408" w:lineRule="exact"/>
        <w:ind w:left="0" w:right="0" w:firstLine="576"/>
        <w:jc w:val="left"/>
      </w:pPr>
      <w:r>
        <w:rPr>
          <w:u w:val="single"/>
        </w:rPr>
        <w:t xml:space="preserve">(d)</w:t>
      </w:r>
      <w:r>
        <w:rPr/>
        <w:t xml:space="preserve"> Federal oil spill response plans created pursuant to 33 U.S.C. Sec. 1321 may be submitted in lieu of contingency plans </w:t>
      </w:r>
      <w:r>
        <w:t>((</w:t>
      </w:r>
      <w:r>
        <w:rPr>
          <w:strike/>
        </w:rPr>
        <w:t xml:space="preserve">until state rules are adopted</w:t>
      </w:r>
      <w:r>
        <w:t>))</w:t>
      </w:r>
      <w:r>
        <w:rPr/>
        <w:t xml:space="preserve"> </w:t>
      </w:r>
      <w:r>
        <w:rPr>
          <w:u w:val="single"/>
        </w:rPr>
        <w:t xml:space="preserve">by a class III railroad transporting oil in bulk that is not crude oil</w:t>
      </w:r>
      <w:r>
        <w:rPr/>
        <w:t xml:space="preserve">.</w:t>
      </w:r>
    </w:p>
    <w:p>
      <w:pPr>
        <w:spacing w:before="0" w:after="0" w:line="408" w:lineRule="exact"/>
        <w:ind w:left="0" w:right="0" w:firstLine="576"/>
        <w:jc w:val="left"/>
      </w:pPr>
      <w:r>
        <w:rPr>
          <w:u w:val="single"/>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eca494409a8f41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9d6b1dc6c4d82" /><Relationship Type="http://schemas.openxmlformats.org/officeDocument/2006/relationships/footer" Target="/word/footer.xml" Id="Reca494409a8f413b" /></Relationships>
</file>