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fa88df0cc4a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Griffey, Klippert, McCabe, Senn, Gregerson, Pellicciotti, Jinkins, Irwin, Wylie, Kilduff, McBride, Bergquist, Fey, Smith, Stanford, and Hudgins)</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w:t>
      </w:r>
      <w:r>
        <w:rPr>
          <w:u w:val="single"/>
        </w:rPr>
        <w:t xml:space="preserve">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u w:val="single"/>
        </w:rPr>
        <w:t xml:space="preserve">(3)</w:t>
      </w:r>
      <w:r>
        <w:rPr/>
        <w:t xml:space="preserve"> For purposes of this section, "sexual conduct" has the meaning given in RCW 9A.88.030.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Patronizing a prostitute is a misdemeanor.</w:t>
      </w:r>
    </w:p>
    <w:p/>
    <w:p>
      <w:pPr>
        <w:jc w:val="center"/>
      </w:pPr>
      <w:r>
        <w:rPr>
          <w:b/>
        </w:rPr>
        <w:t>--- END ---</w:t>
      </w:r>
    </w:p>
    <w:sectPr>
      <w:pgNumType w:start="1"/>
      <w:footerReference xmlns:r="http://schemas.openxmlformats.org/officeDocument/2006/relationships" r:id="Rec20963959e04e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a9b6de2fe48df" /><Relationship Type="http://schemas.openxmlformats.org/officeDocument/2006/relationships/footer" Target="/word/footer.xml" Id="Rec20963959e04e0a" /></Relationships>
</file>