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e05ac4e8044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1465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Short, Lytton, Kretz, Koster, Schmick, and Fitzgibbon)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certain information regarding reports on wolf depredations; amending RCW 42.56.430 and 77.12.885; adding a new section to chapter 42.56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(iii) Any department of fish and wildlife employee, range rider contractor, or trapper contractor who directly:</w:t>
      </w:r>
    </w:p>
    <w:p>
      <w:pPr>
        <w:spacing w:before="0" w:after="0" w:line="408" w:lineRule="exact"/>
        <w:ind w:left="0" w:right="0" w:firstLine="576"/>
        <w:jc w:val="left"/>
      </w:pPr>
      <w:r>
        <w:rPr>
          <w:u w:val="single"/>
        </w:rPr>
        <w:t xml:space="preserve">(A) Responds to a depredation; or</w:t>
      </w:r>
    </w:p>
    <w:p>
      <w:pPr>
        <w:spacing w:before="0" w:after="0" w:line="408" w:lineRule="exact"/>
        <w:ind w:left="0" w:right="0" w:firstLine="576"/>
        <w:jc w:val="left"/>
      </w:pPr>
      <w:r>
        <w:rPr>
          <w:u w:val="single"/>
        </w:rPr>
        <w:t xml:space="preserve">(B) Assists in the lethal removal of a wolf; and</w:t>
      </w:r>
    </w:p>
    <w:p>
      <w:pPr>
        <w:spacing w:before="0" w:after="0" w:line="408" w:lineRule="exact"/>
        <w:ind w:left="0" w:right="0" w:firstLine="576"/>
        <w:jc w:val="left"/>
      </w:pPr>
      <w:r>
        <w:rPr>
          <w:u w:val="single"/>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2021,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p>
    <w:p/>
    <w:p>
      <w:pPr>
        <w:jc w:val="center"/>
      </w:pPr>
      <w:r>
        <w:rPr>
          <w:b/>
        </w:rPr>
        <w:t>--- END ---</w:t>
      </w:r>
    </w:p>
    <w:sectPr>
      <w:pgNumType w:start="1"/>
      <w:footerReference xmlns:r="http://schemas.openxmlformats.org/officeDocument/2006/relationships" r:id="R3984b5a3e74741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8c0f6d5ad4a1d" /><Relationship Type="http://schemas.openxmlformats.org/officeDocument/2006/relationships/footer" Target="/word/footer.xml" Id="R3984b5a3e74741e8" /></Relationships>
</file>