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7f58018f54c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1506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1506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Senn, Pellicciotti, Slatter, Macri, Peterson, Chapman, Ortiz-Self, Bergquist, Sawyer, Frame, Gregerson, Farrell, Kilduff, Kagi, Dolan, Clibborn, Pollet, McBride, Stanford, Doglio, Appleton, Robinson, Fitzgibbon, Sells, Goodman, Tharinger, Hudgins, Ormsby, Riccelli, Fey, and Pettigrew)</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recodifying RCW 49.12.175;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on the basis of gender,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five thousand dollars,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four years from the last violation before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The employee must bring a civil action within three years of the date of the alleged violation of this chapter regardless of whether the employee pursued an administrative complaint. Filing a civil action under this chapter shall terminate the director's processing of the complaint under section 4 or 7 of this act. Recovery of any wages and interest owed must be calculated from four years from the last violation prior to the date of filing the civil action.</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78ffaf19340744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70e7254a0439b" /><Relationship Type="http://schemas.openxmlformats.org/officeDocument/2006/relationships/footer" Target="/word/footer.xml" Id="R78ffaf1934074472" /></Relationships>
</file>