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6f59589f44f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Kloba, Klippert, Goodman, Holy, Macri, Peterson, Haler, Doglio, Appleton,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success in therapeutic courts; amending RCW 71.24.580;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rPr>
          <w:u w:val="single"/>
        </w:rPr>
        <w:t xml:space="preserve">Amounts provided in this subsection must be used for treatment and recovery support services for criminally involved offenders and authorization of these services shall not be subject to determinations of medical necessity.</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continue</w:t>
      </w:r>
      <w:r>
        <w:t>((</w:t>
      </w:r>
      <w:r>
        <w:rPr>
          <w:strike/>
        </w:rPr>
        <w:t xml:space="preserve">, in future biennia,</w:t>
      </w:r>
      <w:r>
        <w:t>))</w:t>
      </w:r>
      <w:r>
        <w:rPr/>
        <w:t xml:space="preserve"> </w:t>
      </w:r>
      <w:r>
        <w:rPr>
          <w:u w:val="single"/>
        </w:rPr>
        <w:t xml:space="preserve">in the 2019-2021 biennium</w:t>
      </w:r>
      <w:r>
        <w:rPr/>
        <w:t xml:space="preserve">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p>
    <w:p>
      <w:pPr>
        <w:spacing w:before="0" w:after="0" w:line="408" w:lineRule="exact"/>
        <w:ind w:left="0" w:right="0" w:firstLine="576"/>
        <w:jc w:val="left"/>
      </w:pP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u w:val="single"/>
        </w:rPr>
        <w:t xml:space="preserve">.</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p>
    <w:p/>
    <w:p>
      <w:pPr>
        <w:jc w:val="center"/>
      </w:pPr>
      <w:r>
        <w:rPr>
          <w:b/>
        </w:rPr>
        <w:t>--- END ---</w:t>
      </w:r>
    </w:p>
    <w:sectPr>
      <w:pgNumType w:start="1"/>
      <w:footerReference xmlns:r="http://schemas.openxmlformats.org/officeDocument/2006/relationships" r:id="R12812f63a9084a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5cbb8dfe8940d0" /><Relationship Type="http://schemas.openxmlformats.org/officeDocument/2006/relationships/footer" Target="/word/footer.xml" Id="R12812f63a9084afe" /></Relationships>
</file>