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71b4f86184e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Slatter, McDonald, Senn, Dent, Kilduff, McBride, Frame, Jinkins, Kloba, Santos, Appleton, Muri, Fey, Doglio, Stanford, and Kagi; by request of Washington State Department of Commerce</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minors to consent to share their personally identifying information in the Washington homeless client management information system; and amending RCW 43.185C.180.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"Unaccompanied" has the same definition as in RCW 43.330.702.</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74a0f526eb3d44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2609645d34ad6" /><Relationship Type="http://schemas.openxmlformats.org/officeDocument/2006/relationships/footer" Target="/word/footer.xml" Id="R74a0f526eb3d4485" /></Relationships>
</file>