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28797d6b247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Kloba and Harmsworth; by request of Department of Licensing)</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existing definitions and practices to establish a uniform process for updating addresses of record and make conforming amendments to statutes administered by the department of licensing; amending RCW 46.04.199, 46.12.530, 46.16A.040, 46.16A.190, 46.17.230, 46.17.330, 46.20.205, 46.52.120, 46.68.035, 88.02.375, 46.17.050, and 46.17.060; and adding a new section to chapter 46.08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2010 c 161 s 120 are each amended to read as follows:</w:t>
      </w:r>
    </w:p>
    <w:p>
      <w:pPr>
        <w:spacing w:before="0" w:after="0" w:line="408" w:lineRule="exact"/>
        <w:ind w:left="0" w:right="0" w:firstLine="576"/>
        <w:jc w:val="left"/>
      </w:pPr>
      <w:r>
        <w:rPr/>
        <w:t xml:space="preserve">"Horseless carriage license plate" is a special license plate that may be assigned to a vehicle that is </w:t>
      </w:r>
      <w:r>
        <w:t>((</w:t>
      </w:r>
      <w:r>
        <w:rPr>
          <w:strike/>
        </w:rPr>
        <w:t xml:space="preserve">more than</w:t>
      </w:r>
      <w:r>
        <w:t>))</w:t>
      </w:r>
      <w:r>
        <w:rPr/>
        <w:t xml:space="preserve"> </w:t>
      </w:r>
      <w:r>
        <w:rPr>
          <w:u w:val="single"/>
        </w:rPr>
        <w:t xml:space="preserve">at least</w:t>
      </w:r>
      <w:r>
        <w:rPr/>
        <w:t xml:space="preserve"> forty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The form must contain a place for the person to indicate that an address change is not for voting purposes. The department must notify the secretary of state by the means described in RCW 29A.08.350 of all change of address information for natural persons received by means of this form except information on persons indicating that the change is not for voting purposes.</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2010 c 161 s 302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RCW 9A.72.085.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u w:val="single"/>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190</w:t>
      </w:r>
      <w:r>
        <w:rPr/>
        <w:t xml:space="preserve"> and 2010 c 161 s 433 are each amended to read as follows:</w:t>
      </w:r>
    </w:p>
    <w:p>
      <w:pPr>
        <w:spacing w:before="0" w:after="0" w:line="408" w:lineRule="exact"/>
        <w:ind w:left="0" w:right="0" w:firstLine="576"/>
        <w:jc w:val="left"/>
      </w:pPr>
      <w:r>
        <w:rPr/>
        <w:t xml:space="preserve">A registered owner or the registered owner's authorized representative shall promptly apply for a duplicate registration certificate if </w:t>
      </w:r>
      <w:r>
        <w:rPr>
          <w:u w:val="single"/>
        </w:rPr>
        <w:t xml:space="preserve">the person is applying for a replacement license tab or windshield emblem or</w:t>
      </w:r>
      <w:r>
        <w:rPr/>
        <w:t xml:space="preserve"> a registration certificate is lost, stolen, mutilated, or destroyed, or becomes illegible. The application for a duplicate registration certificate must include information required by the department and be accompanied by the fee required in RCW 46.17.320. The duplicate registration certificate must contain the word, "duplicate."</w:t>
      </w:r>
    </w:p>
    <w:p>
      <w:pPr>
        <w:spacing w:before="0" w:after="0" w:line="408" w:lineRule="exact"/>
        <w:ind w:left="0" w:right="0" w:firstLine="576"/>
        <w:jc w:val="left"/>
      </w:pPr>
      <w:r>
        <w:rPr/>
        <w:t xml:space="preserve">A person recovering a registration certificate for which a duplicate has been issued shall promptly return the recovered registration certificate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230</w:t>
      </w:r>
      <w:r>
        <w:rPr/>
        <w:t xml:space="preserve"> and 2011 c 171 s 59 are each amended to read as follows:</w:t>
      </w:r>
    </w:p>
    <w:p>
      <w:pPr>
        <w:spacing w:before="0" w:after="0" w:line="408" w:lineRule="exact"/>
        <w:ind w:left="0" w:right="0" w:firstLine="576"/>
        <w:jc w:val="left"/>
      </w:pPr>
      <w:r>
        <w:rPr/>
        <w:t xml:space="preserve">Before accepting an application for a replacement license tab or windshield emblem, the department, county auditor or other agent, or subagent appointed by the director shall charge a </w:t>
      </w:r>
      <w:r>
        <w:t>((</w:t>
      </w:r>
      <w:r>
        <w:rPr>
          <w:strike/>
        </w:rPr>
        <w:t xml:space="preserve">one dollar</w:t>
      </w:r>
      <w:r>
        <w:t>))</w:t>
      </w:r>
      <w:r>
        <w:rPr/>
        <w:t xml:space="preserve"> </w:t>
      </w:r>
      <w:r>
        <w:rPr>
          <w:u w:val="single"/>
        </w:rPr>
        <w:t xml:space="preserve">fifty cent</w:t>
      </w:r>
      <w:r>
        <w:rPr/>
        <w:t xml:space="preserve"> fee for each </w:t>
      </w:r>
      <w:r>
        <w:t>((</w:t>
      </w:r>
      <w:r>
        <w:rPr>
          <w:strike/>
        </w:rPr>
        <w:t xml:space="preserve">pair of</w:t>
      </w:r>
      <w:r>
        <w:t>))</w:t>
      </w:r>
      <w:r>
        <w:rPr/>
        <w:t xml:space="preserve"> tab</w:t>
      </w:r>
      <w:r>
        <w:t>((</w:t>
      </w:r>
      <w:r>
        <w:rPr>
          <w:strike/>
        </w:rPr>
        <w:t xml:space="preserve">s</w:t>
      </w:r>
      <w:r>
        <w:t>))</w:t>
      </w:r>
      <w:r>
        <w:rPr/>
        <w:t xml:space="preserve"> or windshield emblem. The license tab or windshield emblem replacement fee must be deposited in the motor vehicle fund created in RCW 46.68.070. </w:t>
      </w:r>
      <w:r>
        <w:rPr>
          <w:u w:val="single"/>
        </w:rPr>
        <w:t xml:space="preserve">A replacement tab or emblem may be issued under this section only in conjunction with an application for a duplicate registration certificate under RCW 46.16A.190.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330</w:t>
      </w:r>
      <w:r>
        <w:rPr/>
        <w:t xml:space="preserve"> and 2010 c 161 s 527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farm vehicles described in RCW 46.16A.425, the department, county auditor or other agent, or subagent appointed by the director shall require the applicant, unless specifically exempt, to pay the following farm vehicle reduced gross weight license fee by weight:</w:t>
      </w:r>
    </w:p>
    <w:tbl>
      <w:tblPr>
        <w:tblW w:w="0" w:type="auto"/>
        <w:jc w:val="center"/>
        <w:tcMar>
          <w:tblCellMar>
            <w:top w:w="0" w:type="dxa"/>
          </w:tblCellMar>
        </w:tcMar>
        <w:tcMar>
          <w:tblCellMar>
            <w:left w:w="70" w:type="dxa"/>
            <w:right w:w="70" w:type="dxa"/>
          </w:tblCellMar>
        </w:tcMar>
      </w:tblPr>
      <w:tblGrid>
        <w:gridCol w:w="1900"/>
        <w:gridCol w:w="1480"/>
        <w:gridCol w:w="1480"/>
      </w:tblGrid>
      <w:tr>
        <w:tc>
          <w:tcPr>
            <w:tcW w:w="1900" w:type="dxa"/>
            <w:vAlign w:val="top"/>
          </w:tcPr>
          <w:p>
            <w:pPr>
              <w:spacing w:before="0" w:after="0" w:line="408" w:lineRule="exact"/>
              <w:ind w:left="0" w:right="0" w:firstLine="0"/>
              <w:jc w:val="center"/>
            </w:pPr>
            <w:r>
              <w:rPr>
                <w:rFonts w:ascii="Times New Roman" w:hAnsi="Times New Roman"/>
                <w:sz w:val="20"/>
              </w:rPr>
              <w:t xml:space="preserve">WEIGHT</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A</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$270.00 </w:t>
            </w:r>
          </w:p>
        </w:tc>
        <w:tc>
          <w:tcPr>
            <w:tcW w:w="1480" w:type="dxa"/>
            <w:vAlign w:val="top"/>
          </w:tcPr>
          <w:p>
            <w:pPr>
              <w:spacing w:before="0" w:after="0" w:line="408" w:lineRule="exact"/>
              <w:ind w:left="0" w:right="0" w:firstLine="0"/>
              <w:jc w:val="center"/>
            </w:pPr>
            <w:r>
              <w:rPr>
                <w:rFonts w:ascii="Times New Roman" w:hAnsi="Times New Roman"/>
                <w:sz w:val="20"/>
              </w:rPr>
              <w:t xml:space="preserve">$315.00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$275.50 </w:t>
            </w:r>
          </w:p>
        </w:tc>
        <w:tc>
          <w:tcPr>
            <w:tcW w:w="1480" w:type="dxa"/>
            <w:vAlign w:val="top"/>
          </w:tcPr>
          <w:p>
            <w:pPr>
              <w:spacing w:before="0" w:after="0" w:line="408" w:lineRule="exact"/>
              <w:ind w:left="0" w:right="0" w:firstLine="0"/>
              <w:jc w:val="center"/>
            </w:pPr>
            <w:r>
              <w:rPr>
                <w:rFonts w:ascii="Times New Roman" w:hAnsi="Times New Roman"/>
                <w:sz w:val="20"/>
              </w:rPr>
              <w:t xml:space="preserve">$320.50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$295.50 </w:t>
            </w:r>
          </w:p>
        </w:tc>
        <w:tc>
          <w:tcPr>
            <w:tcW w:w="1480" w:type="dxa"/>
            <w:vAlign w:val="top"/>
          </w:tcPr>
          <w:p>
            <w:pPr>
              <w:spacing w:before="0" w:after="0" w:line="408" w:lineRule="exact"/>
              <w:ind w:left="0" w:right="0" w:firstLine="0"/>
              <w:jc w:val="center"/>
            </w:pPr>
            <w:r>
              <w:rPr>
                <w:rFonts w:ascii="Times New Roman" w:hAnsi="Times New Roman"/>
                <w:sz w:val="20"/>
              </w:rPr>
              <w:t xml:space="preserve">$340.50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$307.50 </w:t>
            </w:r>
          </w:p>
        </w:tc>
        <w:tc>
          <w:tcPr>
            <w:tcW w:w="1480" w:type="dxa"/>
            <w:vAlign w:val="top"/>
          </w:tcPr>
          <w:p>
            <w:pPr>
              <w:spacing w:before="0" w:after="0" w:line="408" w:lineRule="exact"/>
              <w:ind w:left="0" w:right="0" w:firstLine="0"/>
              <w:jc w:val="center"/>
            </w:pPr>
            <w:r>
              <w:rPr>
                <w:rFonts w:ascii="Times New Roman" w:hAnsi="Times New Roman"/>
                <w:sz w:val="20"/>
              </w:rPr>
              <w:t xml:space="preserve">$352.50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$333.00 </w:t>
            </w:r>
          </w:p>
        </w:tc>
        <w:tc>
          <w:tcPr>
            <w:tcW w:w="1480" w:type="dxa"/>
            <w:vAlign w:val="top"/>
          </w:tcPr>
          <w:p>
            <w:pPr>
              <w:spacing w:before="0" w:after="0" w:line="408" w:lineRule="exact"/>
              <w:ind w:left="0" w:right="0" w:firstLine="0"/>
              <w:jc w:val="center"/>
            </w:pPr>
            <w:r>
              <w:rPr>
                <w:rFonts w:ascii="Times New Roman" w:hAnsi="Times New Roman"/>
                <w:sz w:val="20"/>
              </w:rPr>
              <w:t xml:space="preserve">$378.00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$349.50 </w:t>
            </w:r>
          </w:p>
        </w:tc>
        <w:tc>
          <w:tcPr>
            <w:tcW w:w="1480" w:type="dxa"/>
            <w:vAlign w:val="top"/>
          </w:tcPr>
          <w:p>
            <w:pPr>
              <w:spacing w:before="0" w:after="0" w:line="408" w:lineRule="exact"/>
              <w:ind w:left="0" w:right="0" w:firstLine="0"/>
              <w:jc w:val="center"/>
            </w:pPr>
            <w:r>
              <w:rPr>
                <w:rFonts w:ascii="Times New Roman" w:hAnsi="Times New Roman"/>
                <w:sz w:val="20"/>
              </w:rPr>
              <w:t xml:space="preserve">$394.50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$376.50 </w:t>
            </w:r>
          </w:p>
        </w:tc>
        <w:tc>
          <w:tcPr>
            <w:tcW w:w="1480" w:type="dxa"/>
            <w:vAlign w:val="top"/>
          </w:tcPr>
          <w:p>
            <w:pPr>
              <w:spacing w:before="0" w:after="0" w:line="408" w:lineRule="exact"/>
              <w:ind w:left="0" w:right="0" w:firstLine="0"/>
              <w:jc w:val="center"/>
            </w:pPr>
            <w:r>
              <w:rPr>
                <w:rFonts w:ascii="Times New Roman" w:hAnsi="Times New Roman"/>
                <w:sz w:val="20"/>
              </w:rPr>
              <w:t xml:space="preserve">$421.50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$397.00 </w:t>
            </w:r>
          </w:p>
        </w:tc>
        <w:tc>
          <w:tcPr>
            <w:tcW w:w="1480" w:type="dxa"/>
            <w:vAlign w:val="top"/>
          </w:tcPr>
          <w:p>
            <w:pPr>
              <w:spacing w:before="0" w:after="0" w:line="408" w:lineRule="exact"/>
              <w:ind w:left="0" w:right="0" w:firstLine="0"/>
              <w:jc w:val="center"/>
            </w:pPr>
            <w:r>
              <w:rPr>
                <w:rFonts w:ascii="Times New Roman" w:hAnsi="Times New Roman"/>
                <w:sz w:val="20"/>
              </w:rPr>
              <w:t xml:space="preserve">$442.00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$412.50 </w:t>
            </w:r>
          </w:p>
        </w:tc>
        <w:tc>
          <w:tcPr>
            <w:tcW w:w="1480" w:type="dxa"/>
            <w:vAlign w:val="top"/>
          </w:tcPr>
          <w:p>
            <w:pPr>
              <w:spacing w:before="0" w:after="0" w:line="408" w:lineRule="exact"/>
              <w:ind w:left="0" w:right="0" w:firstLine="0"/>
              <w:jc w:val="center"/>
            </w:pPr>
            <w:r>
              <w:rPr>
                <w:rFonts w:ascii="Times New Roman" w:hAnsi="Times New Roman"/>
                <w:sz w:val="20"/>
              </w:rPr>
              <w:t xml:space="preserve">$457.50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$439.00 </w:t>
            </w:r>
          </w:p>
        </w:tc>
        <w:tc>
          <w:tcPr>
            <w:tcW w:w="1480" w:type="dxa"/>
            <w:vAlign w:val="top"/>
          </w:tcPr>
          <w:p>
            <w:pPr>
              <w:spacing w:before="0" w:after="0" w:line="408" w:lineRule="exact"/>
              <w:ind w:left="0" w:right="0" w:firstLine="0"/>
              <w:jc w:val="center"/>
            </w:pPr>
            <w:r>
              <w:rPr>
                <w:rFonts w:ascii="Times New Roman" w:hAnsi="Times New Roman"/>
                <w:sz w:val="20"/>
              </w:rPr>
              <w:t xml:space="preserve">$484.00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$470.00 </w:t>
            </w:r>
          </w:p>
        </w:tc>
        <w:tc>
          <w:tcPr>
            <w:tcW w:w="1480" w:type="dxa"/>
            <w:vAlign w:val="top"/>
          </w:tcPr>
          <w:p>
            <w:pPr>
              <w:spacing w:before="0" w:after="0" w:line="408" w:lineRule="exact"/>
              <w:ind w:left="0" w:right="0" w:firstLine="0"/>
              <w:jc w:val="center"/>
            </w:pPr>
            <w:r>
              <w:rPr>
                <w:rFonts w:ascii="Times New Roman" w:hAnsi="Times New Roman"/>
                <w:sz w:val="20"/>
              </w:rPr>
              <w:t xml:space="preserve">$515.00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$480.00 </w:t>
            </w:r>
          </w:p>
        </w:tc>
        <w:tc>
          <w:tcPr>
            <w:tcW w:w="1480" w:type="dxa"/>
            <w:vAlign w:val="top"/>
          </w:tcPr>
          <w:p>
            <w:pPr>
              <w:spacing w:before="0" w:after="0" w:line="408" w:lineRule="exact"/>
              <w:ind w:left="0" w:right="0" w:firstLine="0"/>
              <w:jc w:val="center"/>
            </w:pPr>
            <w:r>
              <w:rPr>
                <w:rFonts w:ascii="Times New Roman" w:hAnsi="Times New Roman"/>
                <w:sz w:val="20"/>
              </w:rPr>
              <w:t xml:space="preserve">$525.00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$533.50 </w:t>
            </w:r>
          </w:p>
        </w:tc>
        <w:tc>
          <w:tcPr>
            <w:tcW w:w="1480" w:type="dxa"/>
            <w:vAlign w:val="top"/>
          </w:tcPr>
          <w:p>
            <w:pPr>
              <w:spacing w:before="0" w:after="0" w:line="408" w:lineRule="exact"/>
              <w:ind w:left="0" w:right="0" w:firstLine="0"/>
              <w:jc w:val="center"/>
            </w:pPr>
            <w:r>
              <w:rPr>
                <w:rFonts w:ascii="Times New Roman" w:hAnsi="Times New Roman"/>
                <w:sz w:val="20"/>
              </w:rPr>
              <w:t xml:space="preserve">$578.50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$556.00 </w:t>
            </w:r>
          </w:p>
        </w:tc>
        <w:tc>
          <w:tcPr>
            <w:tcW w:w="1480" w:type="dxa"/>
            <w:vAlign w:val="top"/>
          </w:tcPr>
          <w:p>
            <w:pPr>
              <w:spacing w:before="0" w:after="0" w:line="408" w:lineRule="exact"/>
              <w:ind w:left="0" w:right="0" w:firstLine="0"/>
              <w:jc w:val="center"/>
            </w:pPr>
            <w:r>
              <w:rPr>
                <w:rFonts w:ascii="Times New Roman" w:hAnsi="Times New Roman"/>
                <w:sz w:val="20"/>
              </w:rPr>
              <w:t xml:space="preserve">$601.00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$598.00 </w:t>
            </w:r>
          </w:p>
        </w:tc>
        <w:tc>
          <w:tcPr>
            <w:tcW w:w="1480" w:type="dxa"/>
            <w:vAlign w:val="top"/>
          </w:tcPr>
          <w:p>
            <w:pPr>
              <w:spacing w:before="0" w:after="0" w:line="408" w:lineRule="exact"/>
              <w:ind w:left="0" w:right="0" w:firstLine="0"/>
              <w:jc w:val="center"/>
            </w:pPr>
            <w:r>
              <w:rPr>
                <w:rFonts w:ascii="Times New Roman" w:hAnsi="Times New Roman"/>
                <w:sz w:val="20"/>
              </w:rPr>
              <w:t xml:space="preserve">$643.00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$639.00 </w:t>
            </w:r>
          </w:p>
        </w:tc>
        <w:tc>
          <w:tcPr>
            <w:tcW w:w="1480" w:type="dxa"/>
            <w:vAlign w:val="top"/>
          </w:tcPr>
          <w:p>
            <w:pPr>
              <w:spacing w:before="0" w:after="0" w:line="408" w:lineRule="exact"/>
              <w:ind w:left="0" w:right="0" w:firstLine="0"/>
              <w:jc w:val="center"/>
            </w:pPr>
            <w:r>
              <w:rPr>
                <w:rFonts w:ascii="Times New Roman" w:hAnsi="Times New Roman"/>
                <w:sz w:val="20"/>
              </w:rPr>
              <w:t xml:space="preserve">$684.00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$693.50 </w:t>
            </w:r>
          </w:p>
        </w:tc>
        <w:tc>
          <w:tcPr>
            <w:tcW w:w="1480" w:type="dxa"/>
            <w:vAlign w:val="top"/>
          </w:tcPr>
          <w:p>
            <w:pPr>
              <w:spacing w:before="0" w:after="0" w:line="408" w:lineRule="exact"/>
              <w:ind w:left="0" w:right="0" w:firstLine="0"/>
              <w:jc w:val="center"/>
            </w:pPr>
            <w:r>
              <w:rPr>
                <w:rFonts w:ascii="Times New Roman" w:hAnsi="Times New Roman"/>
                <w:sz w:val="20"/>
              </w:rPr>
              <w:t xml:space="preserve">$738.50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$748.50 </w:t>
            </w:r>
          </w:p>
        </w:tc>
        <w:tc>
          <w:tcPr>
            <w:tcW w:w="1480" w:type="dxa"/>
            <w:vAlign w:val="top"/>
          </w:tcPr>
          <w:p>
            <w:pPr>
              <w:spacing w:before="0" w:after="0" w:line="408" w:lineRule="exact"/>
              <w:ind w:left="0" w:right="0" w:firstLine="0"/>
              <w:jc w:val="center"/>
            </w:pPr>
            <w:r>
              <w:rPr>
                <w:rFonts w:ascii="Times New Roman" w:hAnsi="Times New Roman"/>
                <w:sz w:val="20"/>
              </w:rPr>
              <w:t xml:space="preserve">$793.50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$816.50 </w:t>
            </w:r>
          </w:p>
        </w:tc>
        <w:tc>
          <w:tcPr>
            <w:tcW w:w="1480" w:type="dxa"/>
            <w:vAlign w:val="top"/>
          </w:tcPr>
          <w:p>
            <w:pPr>
              <w:spacing w:before="0" w:after="0" w:line="408" w:lineRule="exact"/>
              <w:ind w:left="0" w:right="0" w:firstLine="0"/>
              <w:jc w:val="center"/>
            </w:pPr>
            <w:r>
              <w:rPr>
                <w:rFonts w:ascii="Times New Roman" w:hAnsi="Times New Roman"/>
                <w:sz w:val="20"/>
              </w:rPr>
              <w:t xml:space="preserve">$861.50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$880.50 </w:t>
            </w:r>
          </w:p>
        </w:tc>
        <w:tc>
          <w:tcPr>
            <w:tcW w:w="1480" w:type="dxa"/>
            <w:vAlign w:val="top"/>
          </w:tcPr>
          <w:p>
            <w:pPr>
              <w:spacing w:before="0" w:after="0" w:line="408" w:lineRule="exact"/>
              <w:ind w:left="0" w:right="0" w:firstLine="0"/>
              <w:jc w:val="center"/>
            </w:pPr>
            <w:r>
              <w:rPr>
                <w:rFonts w:ascii="Times New Roman" w:hAnsi="Times New Roman"/>
                <w:sz w:val="20"/>
              </w:rPr>
              <w:t xml:space="preserve">$925.50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$941.00 </w:t>
            </w:r>
          </w:p>
        </w:tc>
        <w:tc>
          <w:tcPr>
            <w:tcW w:w="1480" w:type="dxa"/>
            <w:vAlign w:val="top"/>
          </w:tcPr>
          <w:p>
            <w:pPr>
              <w:spacing w:before="0" w:after="0" w:line="408" w:lineRule="exact"/>
              <w:ind w:left="0" w:right="0" w:firstLine="0"/>
              <w:jc w:val="center"/>
            </w:pPr>
            <w:r>
              <w:rPr>
                <w:rFonts w:ascii="Times New Roman" w:hAnsi="Times New Roman"/>
                <w:sz w:val="20"/>
              </w:rPr>
              <w:t xml:space="preserve">$986.00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$1,001.00 </w:t>
            </w:r>
          </w:p>
        </w:tc>
        <w:tc>
          <w:tcPr>
            <w:tcW w:w="1480" w:type="dxa"/>
            <w:vAlign w:val="top"/>
          </w:tcPr>
          <w:p>
            <w:pPr>
              <w:spacing w:before="0" w:after="0" w:line="408" w:lineRule="exact"/>
              <w:ind w:left="0" w:right="0" w:firstLine="0"/>
              <w:jc w:val="center"/>
            </w:pPr>
            <w:r>
              <w:rPr>
                <w:rFonts w:ascii="Times New Roman" w:hAnsi="Times New Roman"/>
                <w:sz w:val="20"/>
              </w:rPr>
              <w:t xml:space="preserve">$1,046.00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$1,061.50 </w:t>
            </w:r>
          </w:p>
        </w:tc>
        <w:tc>
          <w:tcPr>
            <w:tcW w:w="1480" w:type="dxa"/>
            <w:vAlign w:val="top"/>
          </w:tcPr>
          <w:p>
            <w:pPr>
              <w:spacing w:before="0" w:after="0" w:line="408" w:lineRule="exact"/>
              <w:ind w:left="0" w:right="0" w:firstLine="0"/>
              <w:jc w:val="center"/>
            </w:pPr>
            <w:r>
              <w:rPr>
                <w:rFonts w:ascii="Times New Roman" w:hAnsi="Times New Roman"/>
                <w:sz w:val="20"/>
              </w:rPr>
              <w:t xml:space="preserve">$1,106.50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$1,122.00 </w:t>
            </w:r>
          </w:p>
        </w:tc>
        <w:tc>
          <w:tcPr>
            <w:tcW w:w="1480" w:type="dxa"/>
            <w:vAlign w:val="top"/>
          </w:tcPr>
          <w:p>
            <w:pPr>
              <w:spacing w:before="0" w:after="0" w:line="408" w:lineRule="exact"/>
              <w:ind w:left="0" w:right="0" w:firstLine="0"/>
              <w:jc w:val="center"/>
            </w:pPr>
            <w:r>
              <w:rPr>
                <w:rFonts w:ascii="Times New Roman" w:hAnsi="Times New Roman"/>
                <w:sz w:val="20"/>
              </w:rPr>
              <w:t xml:space="preserve">$1,167.00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$1,182.50 </w:t>
            </w:r>
          </w:p>
        </w:tc>
        <w:tc>
          <w:tcPr>
            <w:tcW w:w="1480" w:type="dxa"/>
            <w:vAlign w:val="top"/>
          </w:tcPr>
          <w:p>
            <w:pPr>
              <w:spacing w:before="0" w:after="0" w:line="408" w:lineRule="exact"/>
              <w:ind w:left="0" w:right="0" w:firstLine="0"/>
              <w:jc w:val="center"/>
            </w:pPr>
            <w:r>
              <w:rPr>
                <w:rFonts w:ascii="Times New Roman" w:hAnsi="Times New Roman"/>
                <w:sz w:val="20"/>
              </w:rPr>
              <w:t xml:space="preserve">$1,127.50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$1,242.50 </w:t>
            </w:r>
          </w:p>
        </w:tc>
        <w:tc>
          <w:tcPr>
            <w:tcW w:w="1480" w:type="dxa"/>
            <w:vAlign w:val="top"/>
          </w:tcPr>
          <w:p>
            <w:pPr>
              <w:spacing w:before="0" w:after="0" w:line="408" w:lineRule="exact"/>
              <w:ind w:left="0" w:right="0" w:firstLine="0"/>
              <w:jc w:val="center"/>
            </w:pPr>
            <w:r>
              <w:rPr>
                <w:rFonts w:ascii="Times New Roman" w:hAnsi="Times New Roman"/>
                <w:sz w:val="20"/>
              </w:rPr>
              <w:t xml:space="preserve">$1,287.50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$1,303.00 </w:t>
            </w:r>
          </w:p>
        </w:tc>
        <w:tc>
          <w:tcPr>
            <w:tcW w:w="1480" w:type="dxa"/>
            <w:vAlign w:val="top"/>
          </w:tcPr>
          <w:p>
            <w:pPr>
              <w:spacing w:before="0" w:after="0" w:line="408" w:lineRule="exact"/>
              <w:ind w:left="0" w:right="0" w:firstLine="0"/>
              <w:jc w:val="center"/>
            </w:pPr>
            <w:r>
              <w:rPr>
                <w:rFonts w:ascii="Times New Roman" w:hAnsi="Times New Roman"/>
                <w:sz w:val="20"/>
              </w:rPr>
              <w:t xml:space="preserve">$1,348.00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$1,363.50 </w:t>
            </w:r>
          </w:p>
        </w:tc>
        <w:tc>
          <w:tcPr>
            <w:tcW w:w="1480" w:type="dxa"/>
            <w:vAlign w:val="top"/>
          </w:tcPr>
          <w:p>
            <w:pPr>
              <w:spacing w:before="0" w:after="0" w:line="408" w:lineRule="exact"/>
              <w:ind w:left="0" w:right="0" w:firstLine="0"/>
              <w:jc w:val="center"/>
            </w:pPr>
            <w:r>
              <w:rPr>
                <w:rFonts w:ascii="Times New Roman" w:hAnsi="Times New Roman"/>
                <w:sz w:val="20"/>
              </w:rPr>
              <w:t xml:space="preserve">$1,408.50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$1,424.00 </w:t>
            </w:r>
          </w:p>
        </w:tc>
        <w:tc>
          <w:tcPr>
            <w:tcW w:w="1480" w:type="dxa"/>
            <w:vAlign w:val="top"/>
          </w:tcPr>
          <w:p>
            <w:pPr>
              <w:spacing w:before="0" w:after="0" w:line="408" w:lineRule="exact"/>
              <w:ind w:left="0" w:right="0" w:firstLine="0"/>
              <w:jc w:val="center"/>
            </w:pPr>
            <w:r>
              <w:rPr>
                <w:rFonts w:ascii="Times New Roman" w:hAnsi="Times New Roman"/>
                <w:sz w:val="20"/>
              </w:rPr>
              <w:t xml:space="preserve">$1,469.00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$1,484.00 </w:t>
            </w:r>
          </w:p>
        </w:tc>
        <w:tc>
          <w:tcPr>
            <w:tcW w:w="1480" w:type="dxa"/>
            <w:vAlign w:val="top"/>
          </w:tcPr>
          <w:p>
            <w:pPr>
              <w:spacing w:before="0" w:after="0" w:line="408" w:lineRule="exact"/>
              <w:ind w:left="0" w:right="0" w:firstLine="0"/>
              <w:jc w:val="center"/>
            </w:pPr>
            <w:r>
              <w:rPr>
                <w:rFonts w:ascii="Times New Roman" w:hAnsi="Times New Roman"/>
                <w:sz w:val="20"/>
              </w:rPr>
              <w:t xml:space="preserve">$1,529.00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$1,544.50 </w:t>
            </w:r>
          </w:p>
        </w:tc>
        <w:tc>
          <w:tcPr>
            <w:tcW w:w="1480" w:type="dxa"/>
            <w:vAlign w:val="top"/>
          </w:tcPr>
          <w:p>
            <w:pPr>
              <w:spacing w:before="0" w:after="0" w:line="408" w:lineRule="exact"/>
              <w:ind w:left="0" w:right="0" w:firstLine="0"/>
              <w:jc w:val="center"/>
            </w:pPr>
            <w:r>
              <w:rPr>
                <w:rFonts w:ascii="Times New Roman" w:hAnsi="Times New Roman"/>
                <w:sz w:val="20"/>
              </w:rPr>
              <w:t xml:space="preserve">$1,589.50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$1,605.00 </w:t>
            </w:r>
          </w:p>
        </w:tc>
        <w:tc>
          <w:tcPr>
            <w:tcW w:w="1480" w:type="dxa"/>
            <w:vAlign w:val="top"/>
          </w:tcPr>
          <w:p>
            <w:pPr>
              <w:spacing w:before="0" w:after="0" w:line="408" w:lineRule="exact"/>
              <w:ind w:left="0" w:right="0" w:firstLine="0"/>
              <w:jc w:val="center"/>
            </w:pPr>
            <w:r>
              <w:rPr>
                <w:rFonts w:ascii="Times New Roman" w:hAnsi="Times New Roman"/>
                <w:sz w:val="20"/>
              </w:rPr>
              <w:t xml:space="preserve">$1,650.00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$1,665.50 </w:t>
            </w:r>
          </w:p>
        </w:tc>
        <w:tc>
          <w:tcPr>
            <w:tcW w:w="1480" w:type="dxa"/>
            <w:vAlign w:val="top"/>
          </w:tcPr>
          <w:p>
            <w:pPr>
              <w:spacing w:before="0" w:after="0" w:line="408" w:lineRule="exact"/>
              <w:ind w:left="0" w:right="0" w:firstLine="0"/>
              <w:jc w:val="center"/>
            </w:pPr>
            <w:r>
              <w:rPr>
                <w:rFonts w:ascii="Times New Roman" w:hAnsi="Times New Roman"/>
                <w:sz w:val="20"/>
              </w:rPr>
              <w:t xml:space="preserve">$1,710.50 </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farm vehicle reduced gross weight license fees provided in subsection (1) of this section are in addition to the filing fee required under RCW 46.17.005 and any other fee or tax required by law.</w:t>
      </w:r>
    </w:p>
    <w:p>
      <w:pPr>
        <w:spacing w:before="0" w:after="0" w:line="408" w:lineRule="exact"/>
        <w:ind w:left="0" w:right="0" w:firstLine="576"/>
        <w:jc w:val="left"/>
      </w:pPr>
      <w:r>
        <w:rPr/>
        <w:t xml:space="preserve">(5) The farm vehicle reduced gross weight license fee as provided in subsection (1) of this section must be distributed under RCW </w:t>
      </w:r>
      <w:r>
        <w:t>((</w:t>
      </w:r>
      <w:r>
        <w:rPr>
          <w:strike/>
        </w:rPr>
        <w:t xml:space="preserve">46.68.030</w:t>
      </w:r>
      <w:r>
        <w:t>))</w:t>
      </w:r>
      <w:r>
        <w:rPr/>
        <w:t xml:space="preserve"> </w:t>
      </w:r>
      <w:r>
        <w:rPr>
          <w:u w:val="single"/>
        </w:rPr>
        <w:t xml:space="preserve">46.68.035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2015 c 53 s 72 are each amended to read as follows:</w:t>
      </w:r>
    </w:p>
    <w:p>
      <w:pPr>
        <w:spacing w:before="0" w:after="0" w:line="408" w:lineRule="exact"/>
        <w:ind w:left="0" w:right="0" w:firstLine="576"/>
        <w:jc w:val="left"/>
      </w:pPr>
      <w:r>
        <w:t>((</w:t>
      </w:r>
      <w:r>
        <w:rPr>
          <w:strike/>
        </w:rPr>
        <w:t xml:space="preserve">(1)</w:t>
      </w:r>
      <w:r>
        <w:t>))</w:t>
      </w:r>
      <w:r>
        <w:rPr/>
        <w:t xml:space="preserve"> Whenever any person</w:t>
      </w:r>
      <w:r>
        <w:rPr>
          <w:u w:val="single"/>
        </w:rPr>
        <w:t xml:space="preserve">,</w:t>
      </w:r>
      <w:r>
        <w:rPr/>
        <w:t xml:space="preserve"> after applying for or receiving a driver's license or identicard</w:t>
      </w:r>
      <w:r>
        <w:rPr>
          <w:u w:val="single"/>
        </w:rPr>
        <w:t xml:space="preserve">,</w:t>
      </w:r>
      <w:r>
        <w:rPr/>
        <w:t xml:space="preserve"> moves from the address named in the application or in the license or identicard issued to him or her, </w:t>
      </w:r>
      <w:r>
        <w:rPr>
          <w:u w:val="single"/>
        </w:rPr>
        <w:t xml:space="preserve">or changes his or her name of record,</w:t>
      </w:r>
      <w:r>
        <w:rPr/>
        <w:t xml:space="preserve"> the person shall</w:t>
      </w:r>
      <w:r>
        <w:rPr>
          <w:u w:val="single"/>
        </w:rPr>
        <w:t xml:space="preserve">,</w:t>
      </w:r>
      <w:r>
        <w:rPr/>
        <w:t xml:space="preserve"> within ten days thereafter</w:t>
      </w:r>
      <w:r>
        <w:rPr>
          <w:u w:val="single"/>
        </w:rPr>
        <w:t xml:space="preserve">,</w:t>
      </w:r>
      <w:r>
        <w:rPr/>
        <w:t xml:space="preserve"> notify the department of the </w:t>
      </w:r>
      <w:r>
        <w:rPr>
          <w:u w:val="single"/>
        </w:rPr>
        <w:t xml:space="preserve">name or</w:t>
      </w:r>
      <w:r>
        <w:rPr/>
        <w:t xml:space="preserve"> address change</w:t>
      </w:r>
      <w:r>
        <w:t>((</w:t>
      </w:r>
      <w:r>
        <w:rPr>
          <w:strike/>
        </w:rPr>
        <w:t xml:space="preserv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strike/>
        </w:rPr>
        <w:t xml:space="preserve">(a) The form must contain a place for the person to indicate that the address change is not for voting purposes. The department of licensing shall notify the secretary of state by the means described in RCW 29A.08.350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strike/>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strike/>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r>
        <w:t>))</w:t>
      </w:r>
      <w:r>
        <w:rPr/>
        <w:t xml:space="preserve"> </w:t>
      </w:r>
      <w:r>
        <w:rPr>
          <w:u w:val="single"/>
        </w:rPr>
        <w:t xml:space="preserve">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2016 c 197 s 4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rPr>
          <w:u w:val="single"/>
        </w:rPr>
        <w:t xml:space="preserve">, together with an index cross-reference record of each accident reported relating to such individual with a brief statement of the cause of the accident and whether or not the accident resulted in any fatality</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t xml:space="preserve">The director shall forward all proceeds from vehicle license fees received by the director for vehicles registered under RCW </w:t>
      </w:r>
      <w:r>
        <w:rPr>
          <w:u w:val="single"/>
        </w:rPr>
        <w:t xml:space="preserve">46.17.330,</w:t>
      </w:r>
      <w:r>
        <w:rPr/>
        <w:t xml:space="preserve">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375</w:t>
      </w:r>
      <w:r>
        <w:rPr/>
        <w:t xml:space="preserve"> and 2010 c 161 s 1013 are each amended to read as follows:</w:t>
      </w:r>
    </w:p>
    <w:p>
      <w:pPr>
        <w:spacing w:before="0" w:after="0" w:line="408" w:lineRule="exact"/>
        <w:ind w:left="0" w:right="0" w:firstLine="576"/>
        <w:jc w:val="left"/>
      </w:pPr>
      <w:r>
        <w:rPr/>
        <w:t xml:space="preserve">A vessel owner shall notify the department within </w:t>
      </w:r>
      <w:r>
        <w:t>((</w:t>
      </w:r>
      <w:r>
        <w:rPr>
          <w:strike/>
        </w:rPr>
        <w:t xml:space="preserve">fifteen</w:t>
      </w:r>
      <w:r>
        <w:t>))</w:t>
      </w:r>
      <w:r>
        <w:rPr/>
        <w:t xml:space="preserve"> </w:t>
      </w:r>
      <w:r>
        <w:rPr>
          <w:u w:val="single"/>
        </w:rPr>
        <w:t xml:space="preserve">ten</w:t>
      </w:r>
      <w:r>
        <w:rPr/>
        <w:t xml:space="preserve"> days of any of the following:</w:t>
      </w:r>
    </w:p>
    <w:p>
      <w:pPr>
        <w:spacing w:before="0" w:after="0" w:line="408" w:lineRule="exact"/>
        <w:ind w:left="0" w:right="0" w:firstLine="576"/>
        <w:jc w:val="left"/>
      </w:pPr>
      <w:r>
        <w:rPr/>
        <w:t xml:space="preserve">(1) A change of </w:t>
      </w:r>
      <w:r>
        <w:rPr>
          <w:u w:val="single"/>
        </w:rPr>
        <w:t xml:space="preserve">name or</w:t>
      </w:r>
      <w:r>
        <w:rPr/>
        <w:t xml:space="preserve"> address of the owner</w:t>
      </w:r>
      <w:r>
        <w:rPr>
          <w:u w:val="single"/>
        </w:rPr>
        <w:t xml:space="preserve">, as provided in section 2 of this act</w:t>
      </w:r>
      <w:r>
        <w:rPr/>
        <w:t xml:space="preserve">;</w:t>
      </w:r>
    </w:p>
    <w:p>
      <w:pPr>
        <w:spacing w:before="0" w:after="0" w:line="408" w:lineRule="exact"/>
        <w:ind w:left="0" w:right="0" w:firstLine="576"/>
        <w:jc w:val="left"/>
      </w:pPr>
      <w:r>
        <w:rPr/>
        <w:t xml:space="preserve">(2) Destruction, loss, abandonment, theft, or recovery of the vessel; or</w:t>
      </w:r>
    </w:p>
    <w:p>
      <w:pPr>
        <w:spacing w:before="0" w:after="0" w:line="408" w:lineRule="exact"/>
        <w:ind w:left="0" w:right="0" w:firstLine="576"/>
        <w:jc w:val="left"/>
      </w:pPr>
      <w:r>
        <w:rPr/>
        <w:t xml:space="preserve">(3) Loss or destruction of a valid registration certificate issued for the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2015 3rd sp.s. c 44 s 211 are each amended to read as follows:</w:t>
      </w:r>
    </w:p>
    <w:p>
      <w:pPr>
        <w:spacing w:before="0" w:after="0" w:line="408" w:lineRule="exact"/>
        <w:ind w:left="0" w:right="0" w:firstLine="576"/>
        <w:jc w:val="left"/>
      </w:pPr>
      <w:r>
        <w:rPr/>
        <w:t xml:space="preserve">(1) Until June 30, 2017, before accepting a report of sale filed under RCW 46.12.650(2),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2015 3rd sp.s. c 44 s 212 are each amended to read as follows:</w:t>
      </w:r>
    </w:p>
    <w:p>
      <w:pPr>
        <w:spacing w:before="0" w:after="0" w:line="408" w:lineRule="exact"/>
        <w:ind w:left="0" w:right="0" w:firstLine="576"/>
        <w:jc w:val="left"/>
      </w:pPr>
      <w:r>
        <w:rPr/>
        <w:t xml:space="preserve">(1) Until June 30, 2017, before accepting a transitional ownership record filed under RCW 46.12.660,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d7d1dfc957cd4f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cfcd6d2984640" /><Relationship Type="http://schemas.openxmlformats.org/officeDocument/2006/relationships/footer" Target="/word/footer.xml" Id="Rd7d1dfc957cd4f7a" /></Relationships>
</file>