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a90f9dece41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2057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2057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2057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 Orwall)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amending RCW 61.24.030, 61.24.040, 61.24.045, 61.24.050, 61.24.130, 61.24.163, and 61.24.173; adding a new section to chapter 61.24 RCW; adding a new section to chapter 61.12 RCW; and adding a new chapter to Title 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w:t>
      </w:r>
      <w:r>
        <w:t>((</w:t>
      </w:r>
      <w:r>
        <w:rPr>
          <w:strike/>
        </w:rPr>
        <w:t xml:space="preserve">owner</w:t>
      </w:r>
      <w:r>
        <w:t>))</w:t>
      </w:r>
      <w:r>
        <w:rPr/>
        <w:t xml:space="preserve"> </w:t>
      </w:r>
      <w:r>
        <w:rPr>
          <w:u w:val="single"/>
        </w:rPr>
        <w:t xml:space="preserve">holder</w:t>
      </w:r>
      <w:r>
        <w:rPr/>
        <w:t xml:space="preserve"> of any promissory note or other obligation secured by the deed of trust. A declaration by the beneficiary made under the penalty of perjury stating that the beneficiary is the </w:t>
      </w:r>
      <w:r>
        <w:t>((</w:t>
      </w:r>
      <w:r>
        <w:rPr>
          <w:strike/>
        </w:rPr>
        <w:t xml:space="preserve">actual</w:t>
      </w:r>
      <w:r>
        <w:t>))</w:t>
      </w:r>
      <w:r>
        <w:rPr/>
        <w:t xml:space="preserve"> holder of </w:t>
      </w:r>
      <w:r>
        <w:t>((</w:t>
      </w:r>
      <w:r>
        <w:rPr>
          <w:strike/>
        </w:rPr>
        <w:t xml:space="preserve">the</w:t>
      </w:r>
      <w:r>
        <w:t>))</w:t>
      </w:r>
      <w:r>
        <w:rPr/>
        <w:t xml:space="preserve"> </w:t>
      </w:r>
      <w:r>
        <w:rPr>
          <w:u w:val="single"/>
        </w:rPr>
        <w:t xml:space="preserve">any</w:t>
      </w:r>
      <w:r>
        <w:rPr/>
        <w:t xml:space="preserv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w:t>
      </w:r>
      <w:r>
        <w:rPr>
          <w:u w:val="single"/>
        </w:rPr>
        <w:t xml:space="preserve">and, for residential real property, the beneficiary declaration specified in subsection (7)(a) of this section</w:t>
      </w:r>
      <w:r>
        <w:rPr/>
        <w:t xml:space="preserve">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w:t>
      </w:r>
      <w:r>
        <w:t>((</w:t>
      </w:r>
      <w:r>
        <w:rPr>
          <w:strike/>
        </w:rPr>
        <w:t xml:space="preserve">and</w:t>
      </w:r>
      <w:r>
        <w:t>))</w:t>
      </w:r>
    </w:p>
    <w:p>
      <w:pPr>
        <w:spacing w:before="0" w:after="0" w:line="408" w:lineRule="exact"/>
        <w:ind w:left="0" w:right="0" w:firstLine="576"/>
        <w:jc w:val="left"/>
      </w:pPr>
      <w:r>
        <w:rPr/>
        <w:t xml:space="preserve">(l) In the event the property secured by the deed of trust is residential real property, the name and address of the </w:t>
      </w:r>
      <w:r>
        <w:t>((</w:t>
      </w:r>
      <w:r>
        <w:rPr>
          <w:strike/>
        </w:rPr>
        <w:t xml:space="preserve">owner</w:t>
      </w:r>
      <w:r>
        <w:t>))</w:t>
      </w:r>
      <w:r>
        <w:rPr/>
        <w:t xml:space="preserve"> </w:t>
      </w:r>
      <w:r>
        <w:rPr>
          <w:u w:val="single"/>
        </w:rPr>
        <w:t xml:space="preserve">holder</w:t>
      </w:r>
      <w:r>
        <w:rPr/>
        <w:t xml:space="preserve"> of any promissory note</w:t>
      </w:r>
      <w:r>
        <w:t>((</w:t>
      </w:r>
      <w:r>
        <w:rPr>
          <w:strike/>
        </w:rPr>
        <w:t xml:space="preserve">s</w:t>
      </w:r>
      <w:r>
        <w:t>))</w:t>
      </w:r>
      <w:r>
        <w:rPr/>
        <w:t xml:space="preserve"> or other obligation</w:t>
      </w:r>
      <w:r>
        <w:t>((</w:t>
      </w:r>
      <w:r>
        <w:rPr>
          <w:strike/>
        </w:rPr>
        <w:t xml:space="preserve">s</w:t>
      </w:r>
      <w:r>
        <w:t>))</w:t>
      </w:r>
      <w:r>
        <w:rPr/>
        <w:t xml:space="preserve"> secured by the deed of trust and the name, address, and telephone number of a party acting as a servicer of the obligations secured by the deed of trust; </w:t>
      </w:r>
      <w:r>
        <w:t>((</w:t>
      </w:r>
      <w:r>
        <w:rPr>
          <w:strike/>
        </w:rPr>
        <w:t xml:space="preserve">and</w:t>
      </w:r>
      <w:r>
        <w:t>))</w:t>
      </w:r>
    </w:p>
    <w:p>
      <w:pPr>
        <w:spacing w:before="0" w:after="0" w:line="408" w:lineRule="exact"/>
        <w:ind w:left="0" w:right="0" w:firstLine="576"/>
        <w:jc w:val="left"/>
      </w:pPr>
      <w:r>
        <w:rPr>
          <w:u w:val="single"/>
        </w:rPr>
        <w:t xml:space="preserve">(m) For notices issued after June 30, 2018, on the top of the first page of the notice:</w:t>
      </w:r>
    </w:p>
    <w:p>
      <w:pPr>
        <w:spacing w:before="0" w:after="0" w:line="408" w:lineRule="exact"/>
        <w:ind w:left="0" w:right="0" w:firstLine="576"/>
        <w:jc w:val="left"/>
      </w:pPr>
      <w:r>
        <w:rPr>
          <w:u w:val="single"/>
        </w:rPr>
        <w:t xml:space="preserve">(i) The current beneficiary of the deed of trust;</w:t>
      </w:r>
    </w:p>
    <w:p>
      <w:pPr>
        <w:spacing w:before="0" w:after="0" w:line="408" w:lineRule="exact"/>
        <w:ind w:left="0" w:right="0" w:firstLine="576"/>
        <w:jc w:val="left"/>
      </w:pPr>
      <w:r>
        <w:rPr>
          <w:u w:val="single"/>
        </w:rPr>
        <w:t xml:space="preserve">(ii) The current mortgage servicer for the deed of trust; and</w:t>
      </w:r>
    </w:p>
    <w:p>
      <w:pPr>
        <w:spacing w:before="0" w:after="0" w:line="408" w:lineRule="exact"/>
        <w:ind w:left="0" w:right="0" w:firstLine="576"/>
        <w:jc w:val="left"/>
      </w:pPr>
      <w:r>
        <w:rPr>
          <w:u w:val="single"/>
        </w:rPr>
        <w:t xml:space="preserve">(iii) The current trustee for the deed of trust;</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r>
        <w:rPr>
          <w:u w:val="single"/>
        </w:rPr>
        <w:t xml:space="preserve">;</w:t>
      </w:r>
    </w:p>
    <w:p>
      <w:pPr>
        <w:spacing w:before="0" w:after="0" w:line="408" w:lineRule="exact"/>
        <w:ind w:left="0" w:right="0" w:firstLine="576"/>
        <w:jc w:val="left"/>
      </w:pPr>
      <w:r>
        <w:rPr>
          <w:u w:val="single"/>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u w:val="single"/>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u w:val="single"/>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u w:val="single"/>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u w:val="single"/>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u w:val="single"/>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u w:val="single"/>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u w:val="single"/>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u w:val="single"/>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u w:val="single"/>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u w:val="single"/>
        </w:rPr>
        <w:t xml:space="preserve">(g) (c), (e), and (f) of this subsection (11) do not apply to association beneficiaries subject to chapter 64.32, 64.34, or 64.38 RCW; and</w:t>
      </w:r>
    </w:p>
    <w:p>
      <w:pPr>
        <w:spacing w:before="0" w:after="0" w:line="408" w:lineRule="exact"/>
        <w:ind w:left="0" w:right="0" w:firstLine="576"/>
        <w:jc w:val="left"/>
      </w:pPr>
      <w:r>
        <w:rPr>
          <w:u w:val="single"/>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w:t>
      </w:r>
      <w:r>
        <w:rPr>
          <w:u w:val="single"/>
        </w:rPr>
        <w:t xml:space="preserve">(A)</w:t>
      </w:r>
      <w:r>
        <w:rPr/>
        <w:t xml:space="preserve"> The borrower and grantor;</w:t>
      </w:r>
    </w:p>
    <w:p>
      <w:pPr>
        <w:spacing w:before="0" w:after="0" w:line="408" w:lineRule="exact"/>
        <w:ind w:left="0" w:right="0" w:firstLine="576"/>
        <w:jc w:val="left"/>
      </w:pPr>
      <w:r>
        <w:rPr>
          <w:u w:val="single"/>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r>
        <w:t>((</w:t>
      </w:r>
      <w:r>
        <w:rPr>
          <w:strike/>
        </w:rPr>
        <w:t xml:space="preserve">;</w:t>
      </w:r>
    </w:p>
    <w:p>
      <w:pPr>
        <w:spacing w:before="0" w:after="0" w:line="408" w:lineRule="exact"/>
        <w:ind w:left="0" w:right="0" w:firstLine="576"/>
        <w:jc w:val="left"/>
      </w:pPr>
      <w:r>
        <w:rPr>
          <w:strike/>
        </w:rPr>
        <w:t xml:space="preserve">(f)</w:t>
      </w:r>
      <w:r>
        <w:t>))</w:t>
      </w:r>
      <w:r>
        <w:rPr/>
        <w:t xml:space="preserve"> </w:t>
      </w:r>
      <w:r>
        <w:rPr>
          <w:u w:val="single"/>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u w:val="single"/>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u w:val="single"/>
        </w:rPr>
        <w:t xml:space="preserve">(i) The document number or numbers given to the deed of trust upon recording;</w:t>
      </w:r>
    </w:p>
    <w:p>
      <w:pPr>
        <w:spacing w:before="0" w:after="0" w:line="408" w:lineRule="exact"/>
        <w:ind w:left="0" w:right="0" w:firstLine="576"/>
        <w:jc w:val="left"/>
      </w:pPr>
      <w:r>
        <w:rPr>
          <w:u w:val="single"/>
        </w:rPr>
        <w:t xml:space="preserve">(ii) The parcel number(s);</w:t>
      </w:r>
    </w:p>
    <w:p>
      <w:pPr>
        <w:spacing w:before="0" w:after="0" w:line="408" w:lineRule="exact"/>
        <w:ind w:left="0" w:right="0" w:firstLine="576"/>
        <w:jc w:val="left"/>
      </w:pPr>
      <w:r>
        <w:rPr>
          <w:u w:val="single"/>
        </w:rPr>
        <w:t xml:space="preserve">(iii) The grantor;</w:t>
      </w:r>
    </w:p>
    <w:p>
      <w:pPr>
        <w:spacing w:before="0" w:after="0" w:line="408" w:lineRule="exact"/>
        <w:ind w:left="0" w:right="0" w:firstLine="576"/>
        <w:jc w:val="left"/>
      </w:pPr>
      <w:r>
        <w:rPr>
          <w:u w:val="single"/>
        </w:rPr>
        <w:t xml:space="preserve">(iv) The current beneficiary of the deed of trust;</w:t>
      </w:r>
    </w:p>
    <w:p>
      <w:pPr>
        <w:spacing w:before="0" w:after="0" w:line="408" w:lineRule="exact"/>
        <w:ind w:left="0" w:right="0" w:firstLine="576"/>
        <w:jc w:val="left"/>
      </w:pPr>
      <w:r>
        <w:rPr>
          <w:u w:val="single"/>
        </w:rPr>
        <w:t xml:space="preserve">(v) The current trustee of the deed of trust; and</w:t>
      </w:r>
    </w:p>
    <w:p>
      <w:pPr>
        <w:spacing w:before="0" w:after="0" w:line="408" w:lineRule="exact"/>
        <w:ind w:left="0" w:right="0" w:firstLine="576"/>
        <w:jc w:val="left"/>
      </w:pPr>
      <w:r>
        <w:rPr>
          <w:u w:val="single"/>
        </w:rPr>
        <w:t xml:space="preserve">(vi) The current loan mortgage servicer of the deed of trust;</w:t>
      </w:r>
    </w:p>
    <w:p>
      <w:pPr>
        <w:spacing w:before="0" w:after="0" w:line="408" w:lineRule="exact"/>
        <w:ind w:left="0" w:right="0" w:firstLine="576"/>
        <w:jc w:val="left"/>
      </w:pPr>
      <w:r>
        <w:rPr>
          <w:u w:val="single"/>
        </w:rPr>
        <w:t xml:space="preserve">(c) Nothing in this section:</w:t>
      </w:r>
    </w:p>
    <w:p>
      <w:pPr>
        <w:spacing w:before="0" w:after="0" w:line="408" w:lineRule="exact"/>
        <w:ind w:left="0" w:right="0" w:firstLine="576"/>
        <w:jc w:val="left"/>
      </w:pPr>
      <w:r>
        <w:rPr>
          <w:u w:val="single"/>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u w:val="single"/>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u w:val="single"/>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u w:val="single"/>
        </w:rPr>
        <w:t xml:space="preserve">(d)</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0" w:after="0" w:line="408" w:lineRule="exact"/>
        <w:ind w:left="576" w:right="0" w:firstLine="0"/>
        <w:jc w:val="left"/>
      </w:pPr>
      <w:r>
        <w:rPr>
          <w:u w:val="single"/>
        </w:rPr>
        <w:t xml:space="preserve">Grantor: ..............</w:t>
      </w:r>
    </w:p>
    <w:p>
      <w:pPr>
        <w:spacing w:before="0" w:after="0" w:line="408" w:lineRule="exact"/>
        <w:ind w:left="576" w:right="0" w:firstLine="0"/>
        <w:jc w:val="left"/>
      </w:pPr>
      <w:r>
        <w:rPr>
          <w:u w:val="single"/>
        </w:rPr>
        <w:t xml:space="preserve">Current beneficiary of the deed of trust: ...............</w:t>
      </w:r>
    </w:p>
    <w:p>
      <w:pPr>
        <w:spacing w:before="0" w:after="0" w:line="408" w:lineRule="exact"/>
        <w:ind w:left="576" w:right="0" w:firstLine="0"/>
        <w:jc w:val="left"/>
      </w:pPr>
      <w:r>
        <w:rPr>
          <w:u w:val="single"/>
        </w:rPr>
        <w:t xml:space="preserve">Current trustee of the deed of trust: ...............</w:t>
      </w:r>
    </w:p>
    <w:p>
      <w:pPr>
        <w:spacing w:before="0" w:after="0" w:line="408" w:lineRule="exact"/>
        <w:ind w:left="576" w:right="0" w:firstLine="0"/>
        <w:jc w:val="left"/>
      </w:pPr>
      <w:r>
        <w:rPr>
          <w:u w:val="single"/>
        </w:rPr>
        <w:t xml:space="preserve">Current mortgage servicer of the deed of trust: ...............</w:t>
      </w:r>
    </w:p>
    <w:p>
      <w:pPr>
        <w:spacing w:before="0" w:after="0" w:line="408" w:lineRule="exact"/>
        <w:ind w:left="576" w:right="0" w:firstLine="0"/>
        <w:jc w:val="left"/>
      </w:pPr>
      <w:r>
        <w:rPr>
          <w:u w:val="single"/>
        </w:rPr>
        <w:t xml:space="preserve">Reference number of the deed of trust: ...............</w:t>
      </w:r>
    </w:p>
    <w:p>
      <w:pPr>
        <w:spacing w:before="0" w:after="0" w:line="408" w:lineRule="exact"/>
        <w:ind w:left="576" w:right="0" w:firstLine="0"/>
        <w:jc w:val="left"/>
      </w:pPr>
      <w:r>
        <w:rPr>
          <w:u w:val="single"/>
        </w:rPr>
        <w:t xml:space="preserve">Parcel number(s): ...............</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(2)(d)</w:t>
      </w:r>
      <w:r>
        <w:rPr/>
        <w:t xml:space="preserve"> of this section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w:t>
      </w:r>
      <w:r>
        <w:t>((</w:t>
      </w:r>
      <w:r>
        <w:rPr>
          <w:strike/>
        </w:rPr>
        <w:t xml:space="preserve">owner</w:t>
      </w:r>
      <w:r>
        <w:t>))</w:t>
      </w:r>
      <w:r>
        <w:rPr/>
        <w:t xml:space="preserve"> </w:t>
      </w:r>
      <w:r>
        <w:rPr>
          <w:u w:val="single"/>
        </w:rPr>
        <w:t xml:space="preserve">holder</w:t>
      </w:r>
      <w:r>
        <w:rPr/>
        <w:t xml:space="preserve">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(2)(d)</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thirty days prior to the date the sale is conducted, all unknown heirs shall be deemed served with the notice of sale;</w:t>
      </w:r>
    </w:p>
    <w:p>
      <w:pPr>
        <w:spacing w:before="0" w:after="0" w:line="408" w:lineRule="exact"/>
        <w:ind w:left="0" w:right="0" w:firstLine="576"/>
        <w:jc w:val="left"/>
      </w:pPr>
      <w:r>
        <w:rPr>
          <w:u w:val="single"/>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u w:val="single"/>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forty-five days before the scheduled sale must the servicer then provide the information in RCW 61.24.030(11)(c) to the claimant not less than twenty days prior to the sale.</w:t>
      </w:r>
    </w:p>
    <w:p>
      <w:pPr>
        <w:spacing w:before="0" w:after="0" w:line="408" w:lineRule="exact"/>
        <w:ind w:left="0" w:right="0" w:firstLine="576"/>
        <w:jc w:val="left"/>
      </w:pPr>
      <w:r>
        <w:rPr>
          <w:u w:val="single"/>
        </w:rPr>
        <w:t xml:space="preserve">(c) (b) of this subsection (7) does not apply to association beneficiaries subject to chapter 64.32, 64.34, or 64.38 RCW.</w:t>
      </w:r>
    </w:p>
    <w:p>
      <w:pPr>
        <w:spacing w:before="0" w:after="0" w:line="408" w:lineRule="exact"/>
        <w:ind w:left="0" w:right="0" w:firstLine="576"/>
        <w:jc w:val="left"/>
      </w:pPr>
      <w:r>
        <w:rPr>
          <w:u w:val="single"/>
        </w:rPr>
        <w:t xml:space="preserve">(8)</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045</w:t>
      </w:r>
      <w:r>
        <w:rPr/>
        <w:t xml:space="preserve"> and 2008 c 153 s 4 are each amended to read as follows:</w:t>
      </w:r>
    </w:p>
    <w:p>
      <w:pPr>
        <w:spacing w:before="0" w:after="0" w:line="408" w:lineRule="exact"/>
        <w:ind w:left="0" w:right="0" w:firstLine="576"/>
        <w:jc w:val="left"/>
      </w:pPr>
      <w:r>
        <w:rPr/>
        <w:t xml:space="preserve">Any person desiring a copy of any notice of sale described in RCW 61.24.040</w:t>
      </w:r>
      <w:r>
        <w:t>((</w:t>
      </w:r>
      <w:r>
        <w:rPr>
          <w:strike/>
        </w:rPr>
        <w:t xml:space="preserve">(1)(f)</w:t>
      </w:r>
      <w:r>
        <w:t>))</w:t>
      </w:r>
      <w:r>
        <w:rPr/>
        <w:t xml:space="preserve"> </w:t>
      </w:r>
      <w:r>
        <w:rPr>
          <w:u w:val="single"/>
        </w:rPr>
        <w:t xml:space="preserve">(2)</w:t>
      </w:r>
      <w:r>
        <w:rPr/>
        <w:t xml:space="preserve"> under any deed of trust, other than a person entitled to receive such a notice under RCW 61.24.040(1) (b) or (c), must, after the recordation of such deed of trust and before the recordation of the notice of sale, cause to be filed for record, in the office of the auditor of any county in which the deed of trust is recorded, a duly acknowledged request for a copy of any notice of sale. The request shall be signed and acknowledged by the person to be notified or such person's agent, attorney, or representative; shall set forth the name, mailing address, and telephone number, if any, of the person or persons to be notified; shall identify the deed of trust by stating the names of the parties thereto, the date the deed of trust was recorded, the legal description of the property encumbered by the deed of trust, and the auditor's file number under which the deed of trust is recorded; and shall be in substantially the following form:</w:t>
      </w:r>
    </w:p>
    <w:p>
      <w:pPr>
        <w:spacing w:before="120" w:after="0" w:line="408" w:lineRule="exact"/>
        <w:ind w:left="0" w:right="0" w:firstLine="576"/>
        <w:jc w:val="center"/>
      </w:pPr>
      <w:r>
        <w:rPr/>
        <w:t xml:space="preserve">REQUEST FOR NOTICE</w:t>
      </w:r>
    </w:p>
    <w:p>
      <w:pPr>
        <w:spacing w:before="120" w:after="0" w:line="408" w:lineRule="exact"/>
        <w:ind w:left="0" w:right="0" w:firstLine="0"/>
        <w:jc w:val="left"/>
      </w:pPr>
      <w:r>
        <w:rPr/>
        <w:t xml:space="preserve">Request is hereby made that a copy of any notice of sale described in RCW 61.24.040</w:t>
      </w:r>
      <w:r>
        <w:t>((</w:t>
      </w:r>
      <w:r>
        <w:rPr>
          <w:strike/>
        </w:rPr>
        <w:t xml:space="preserve">(1)(f)</w:t>
      </w:r>
      <w:r>
        <w:t>))</w:t>
      </w:r>
      <w:r>
        <w:rPr/>
        <w:t xml:space="preserve"> </w:t>
      </w:r>
      <w:r>
        <w:rPr>
          <w:u w:val="single"/>
        </w:rPr>
        <w:t xml:space="preserve">(2)</w:t>
      </w:r>
      <w:r>
        <w:rPr/>
        <w:t xml:space="preserve"> under that certain Deed of Trust dated . . . . . ., </w:t>
      </w:r>
      <w:r>
        <w:t>((</w:t>
      </w:r>
      <w:r>
        <w:rPr>
          <w:strike/>
        </w:rPr>
        <w:t xml:space="preserve">20. . .</w:t>
      </w:r>
      <w:r>
        <w:t>))</w:t>
      </w:r>
      <w:r>
        <w:rPr/>
        <w:t xml:space="preserve"> </w:t>
      </w:r>
      <w:r>
        <w:rPr>
          <w:u w:val="single"/>
        </w:rPr>
        <w:t xml:space="preserve">. . . . (year)</w:t>
      </w:r>
      <w:r>
        <w:rPr/>
        <w:t xml:space="preserve">, recorded on . . . . . ., </w:t>
      </w:r>
      <w:r>
        <w:t>((</w:t>
      </w:r>
      <w:r>
        <w:rPr>
          <w:strike/>
        </w:rPr>
        <w:t xml:space="preserve">20. . .</w:t>
      </w:r>
      <w:r>
        <w:t>))</w:t>
      </w:r>
      <w:r>
        <w:rPr/>
        <w:t xml:space="preserve"> </w:t>
      </w:r>
      <w:r>
        <w:rPr>
          <w:u w:val="single"/>
        </w:rPr>
        <w:t xml:space="preserve">. . . . (year)</w:t>
      </w:r>
      <w:r>
        <w:rPr/>
        <w:t xml:space="preserve">, under auditor's file No. . . . . . ., records of . . . . . . County, Washington, from . . . . . ., as Grantor, to . . . . . . . . ., as Trustee, to secure an obligation in favor of . . . . . . . . ., as Beneficiary, and affecting the following described real property:</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be sent by both first-class and either registered or certified mail, return receipt requested, to . . . . . . . . . at . . . . . . . . .</w:t>
      </w:r>
    </w:p>
    <w:p>
      <w:pPr>
        <w:spacing w:before="0" w:after="0" w:line="408" w:lineRule="exact"/>
        <w:ind w:left="0" w:right="0" w:firstLine="576"/>
        <w:jc w:val="left"/>
      </w:pPr>
      <w:r>
        <w:rPr/>
        <w:t xml:space="preserve">Dated this . . . . day of . . . . . ., </w:t>
      </w:r>
      <w:r>
        <w:t>((</w:t>
      </w:r>
      <w:r>
        <w:rPr>
          <w:strike/>
        </w:rPr>
        <w:t xml:space="preserve">20. . .</w:t>
      </w:r>
      <w:r>
        <w:t>))</w:t>
      </w:r>
      <w:r>
        <w:rPr/>
        <w:t xml:space="preserve"> </w:t>
      </w:r>
      <w:r>
        <w:rPr>
          <w:u w:val="single"/>
        </w:rPr>
        <w:t xml:space="preserve">. . . . (year)</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Signature</w:t>
            </w:r>
          </w:p>
        </w:tc>
      </w:tr>
    </w:tbl>
    <w:p>
      <w:pPr>
        <w:spacing w:before="240" w:after="0" w:line="408" w:lineRule="exact"/>
        <w:ind w:left="0" w:right="0" w:firstLine="0"/>
        <w:jc w:val="left"/>
      </w:pPr>
      <w:r>
        <w:rPr/>
        <w:t xml:space="preserve">(Acknowledgment)</w:t>
      </w:r>
    </w:p>
    <w:p>
      <w:pPr>
        <w:spacing w:before="120" w:after="0" w:line="408" w:lineRule="exact"/>
        <w:ind w:left="0" w:right="0" w:firstLine="0"/>
        <w:jc w:val="left"/>
      </w:pPr>
      <w:r>
        <w:rPr/>
        <w:t xml:space="preserve">A request for notice under this section shall not affect title to, or be deemed notice to any person that any person has any right, title, interest in, lien or charge upon, the property described in the request for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050</w:t>
      </w:r>
      <w:r>
        <w:rPr/>
        <w:t xml:space="preserve"> and 2012 c 185 s 14 are each amended to read as follows:</w:t>
      </w:r>
    </w:p>
    <w:p>
      <w:pPr>
        <w:spacing w:before="0" w:after="0" w:line="408" w:lineRule="exact"/>
        <w:ind w:left="0" w:right="0" w:firstLine="576"/>
        <w:jc w:val="left"/>
      </w:pPr>
      <w:r>
        <w:rPr/>
        <w:t xml:space="preserve">(1) Upon physical delivery of the trustee's deed to the purchaser, or a different grantee as designated by the purchaser following the trustee's sale, the trustee's deed shall convey all of the right, title, and interest in the real and personal property sold at the trustee's sale which the grantor had or had the power to convey at the time of the execution of the deed of trust, and such as the grantor may have thereafter acquired. Except as provided in subsection (2) of this section, if the trustee accepts a bid, then the trustee's sale is final as of the date and time of such acceptance if the trustee's deed is recorded within fifteen days thereafter. After a trustee's sale, no person shall have any right, by statute or otherwise, to redeem the property sold at the trustee's sale.</w:t>
      </w:r>
    </w:p>
    <w:p>
      <w:pPr>
        <w:spacing w:before="0" w:after="0" w:line="408" w:lineRule="exact"/>
        <w:ind w:left="0" w:right="0" w:firstLine="576"/>
        <w:jc w:val="left"/>
      </w:pPr>
      <w:r>
        <w:rPr/>
        <w:t xml:space="preserve">(2)(a) Up to the eleventh day following the trustee's sale, the trustee, beneficiary, or authorized agent for the beneficiary may declare the trustee's sale and trustee's deed void for the following reasons:</w:t>
      </w:r>
    </w:p>
    <w:p>
      <w:pPr>
        <w:spacing w:before="0" w:after="0" w:line="408" w:lineRule="exact"/>
        <w:ind w:left="0" w:right="0" w:firstLine="576"/>
        <w:jc w:val="left"/>
      </w:pPr>
      <w:r>
        <w:rPr/>
        <w:t xml:space="preserve">(i) The trustee, beneficiary, or authorized agent for the beneficiary assert that there was an error with the trustee foreclosure sale process including, but not limited to, an erroneous opening bid amount made by or on behalf of the foreclosing beneficiary at the trustee's sale;</w:t>
      </w:r>
    </w:p>
    <w:p>
      <w:pPr>
        <w:spacing w:before="0" w:after="0" w:line="408" w:lineRule="exact"/>
        <w:ind w:left="0" w:right="0" w:firstLine="576"/>
        <w:jc w:val="left"/>
      </w:pPr>
      <w:r>
        <w:rPr/>
        <w:t xml:space="preserve">(ii) The borrower and beneficiary, or authorized agent for the beneficiary, had agreed prior to the trustee's sale to a loan modification agreement, forbearance plan, shared appreciation mortgage, or other loss mitigation agreement to postpone or discontinue the trustee's sale; or</w:t>
      </w:r>
    </w:p>
    <w:p>
      <w:pPr>
        <w:spacing w:before="0" w:after="0" w:line="408" w:lineRule="exact"/>
        <w:ind w:left="0" w:right="0" w:firstLine="576"/>
        <w:jc w:val="left"/>
      </w:pPr>
      <w:r>
        <w:rPr/>
        <w:t xml:space="preserve">(iii) The beneficiary or authorized agent for the beneficiary had accepted funds that fully reinstated or satisfied the loan even if the beneficiary or authorized agent for the beneficiary had no legal duty to do so.</w:t>
      </w:r>
    </w:p>
    <w:p>
      <w:pPr>
        <w:spacing w:before="0" w:after="0" w:line="408" w:lineRule="exact"/>
        <w:ind w:left="0" w:right="0" w:firstLine="576"/>
        <w:jc w:val="left"/>
      </w:pPr>
      <w:r>
        <w:rPr/>
        <w:t xml:space="preserve">(b) This subsection does not impose a duty upon the trustee any different than the obligations set forth under RCW 61.24.010 (3) and (4).</w:t>
      </w:r>
    </w:p>
    <w:p>
      <w:pPr>
        <w:spacing w:before="0" w:after="0" w:line="408" w:lineRule="exact"/>
        <w:ind w:left="0" w:right="0" w:firstLine="576"/>
        <w:jc w:val="left"/>
      </w:pPr>
      <w:r>
        <w:rPr/>
        <w:t xml:space="preserve">(3) The trustee must refund the bid amount to the purchaser no later than the third day following the postmarked mailing of the rescission notice described under subsection (4) of this section.</w:t>
      </w:r>
    </w:p>
    <w:p>
      <w:pPr>
        <w:spacing w:before="0" w:after="0" w:line="408" w:lineRule="exact"/>
        <w:ind w:left="0" w:right="0" w:firstLine="576"/>
        <w:jc w:val="left"/>
      </w:pPr>
      <w:r>
        <w:rPr/>
        <w:t xml:space="preserve">(4) No later than fifteen days following the voided trustee's sale date, the trustee shall send a notice in substantially the following form by first-class mail and certified mail, return receipt requested, to all parties entitled to notice under RCW 61.24.040(l) (b) through (e):</w:t>
      </w:r>
    </w:p>
    <w:p>
      <w:pPr>
        <w:spacing w:before="120" w:after="0" w:line="408" w:lineRule="exact"/>
        <w:ind w:left="0" w:right="0" w:firstLine="576"/>
        <w:jc w:val="center"/>
      </w:pPr>
      <w:r>
        <w:rPr/>
        <w:t xml:space="preserve">NOTICE OF RESCISSION OF TRUSTEE'S SALE</w:t>
      </w:r>
    </w:p>
    <w:p>
      <w:pPr>
        <w:spacing w:before="120" w:after="0" w:line="408" w:lineRule="exact"/>
        <w:ind w:left="0" w:right="0" w:firstLine="576"/>
        <w:jc w:val="left"/>
      </w:pPr>
      <w:r>
        <w:rPr/>
        <w:t xml:space="preserve">NOTICE IS HEREBY GIVEN that the trustee's sale that occurred on (trustee's sale date) is rescinded and declared void because (insert the applicable reason(s) permitted under RCW 61.24.050(2)(a)).</w:t>
      </w:r>
    </w:p>
    <w:p>
      <w:pPr>
        <w:spacing w:before="0" w:after="0" w:line="408" w:lineRule="exact"/>
        <w:ind w:left="0" w:right="0" w:firstLine="576"/>
        <w:jc w:val="left"/>
      </w:pPr>
      <w:r>
        <w:rPr/>
        <w:t xml:space="preserve">The trustee's sale occurred pursuant to that certain Notice of Trustee's Sale dated . . . ., . . ., recorded . . . ., . . ., under Auditor's File No. . . ., records of . . . . County, Washington, and that certain Deed of Trust dated . . . ., . . ., recorded . . . ., . . ., under Auditor's File No. . . ., records of . . . . County, Washington, from . . . ., as Grantor, to . . . ., as . . . ., as original Beneficiary, concerning the following described property, situated in the County(ies) of . . . ., State of Washington, to wit:</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Commonly known as (common property address)</w:t>
      </w:r>
    </w:p>
    <w:p>
      <w:pPr>
        <w:spacing w:before="120" w:after="0" w:line="408" w:lineRule="exact"/>
        <w:ind w:left="0" w:right="0" w:firstLine="576"/>
        <w:jc w:val="left"/>
      </w:pPr>
      <w:r>
        <w:rPr/>
        <w:t xml:space="preserve">(5) If the reason for the rescission stems from subsection (2)(a)(i) or (ii) of this section, the trustee may set a new sale date not less than forty</w:t>
      </w:r>
      <w:r>
        <w:rPr/>
        <w:noBreakHyphen/>
      </w:r>
      <w:r>
        <w:rPr/>
        <w:t xml:space="preserve">five days following the mailing of the notice of rescission of trustee's sale.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of the property is situated, once between the thirty</w:t>
      </w:r>
      <w:r>
        <w:rPr/>
        <w:noBreakHyphen/>
      </w:r>
      <w:r>
        <w:rPr/>
        <w:t xml:space="preserve">fifth and twenty</w:t>
      </w:r>
      <w:r>
        <w:rPr/>
        <w:noBreakHyphen/>
      </w:r>
      <w:r>
        <w:rPr/>
        <w:t xml:space="preserve">eighth day before the sale and once between the fourteenth and seventh day before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130</w:t>
      </w:r>
      <w:r>
        <w:rPr/>
        <w:t xml:space="preserve"> and 2008 c 153 s 5 are each amended to read as follows:</w:t>
      </w:r>
    </w:p>
    <w:p>
      <w:pPr>
        <w:spacing w:before="0" w:after="0" w:line="408" w:lineRule="exact"/>
        <w:ind w:left="0" w:right="0" w:firstLine="576"/>
        <w:jc w:val="left"/>
      </w:pPr>
      <w:r>
        <w:rPr/>
        <w:t xml:space="preserve">(1) Nothing contained in this chapter shall prejudice the right of the borrower, grantor, any guarantor, or any person who has an interest in, lien, or claim of lien against the property or some part thereof, to restrain, on any proper legal or equitable ground, a trustee's sale. The court shall require as a condition of granting the restraining order or injunction that the applicant pay to the clerk of the court the sums that would be due on the obligation secured by the deed of trust if the deed of trust was not being foreclosed:</w:t>
      </w:r>
    </w:p>
    <w:p>
      <w:pPr>
        <w:spacing w:before="0" w:after="0" w:line="408" w:lineRule="exact"/>
        <w:ind w:left="0" w:right="0" w:firstLine="576"/>
        <w:jc w:val="left"/>
      </w:pPr>
      <w:r>
        <w:rPr/>
        <w:t xml:space="preserve">(a) In the case of default in making the periodic payment of principal, interest, and reserves, such sums shall be the periodic payment of principal, interest, and reserves paid to the clerk of the court every thirty days.</w:t>
      </w:r>
    </w:p>
    <w:p>
      <w:pPr>
        <w:spacing w:before="0" w:after="0" w:line="408" w:lineRule="exact"/>
        <w:ind w:left="0" w:right="0" w:firstLine="576"/>
        <w:jc w:val="left"/>
      </w:pPr>
      <w:r>
        <w:rPr/>
        <w:t xml:space="preserve">(b) In the case of default in making payment of an obligation then fully payable by its terms, such sums shall be the amount of interest accruing monthly on said obligation at the nondefault rate, paid to the clerk of the court every thirty days.</w:t>
      </w:r>
    </w:p>
    <w:p>
      <w:pPr>
        <w:spacing w:before="0" w:after="0" w:line="408" w:lineRule="exact"/>
        <w:ind w:left="0" w:right="0" w:firstLine="576"/>
        <w:jc w:val="left"/>
      </w:pPr>
      <w:r>
        <w:rPr/>
        <w:t xml:space="preserve">In the case of default in performance of any nonmonetary obligation secured by the deed of trust, the court shall impose such conditions as it deems just.</w:t>
      </w:r>
    </w:p>
    <w:p>
      <w:pPr>
        <w:spacing w:before="0" w:after="0" w:line="408" w:lineRule="exact"/>
        <w:ind w:left="0" w:right="0" w:firstLine="576"/>
        <w:jc w:val="left"/>
      </w:pPr>
      <w:r>
        <w:rPr/>
        <w:t xml:space="preserve">In addition, the court may condition granting the restraining order or injunction upon the giving of security by the applicant, in such form and amount as the court deems proper, for the payment of such costs and damages, including attorneys' fees, as may be later found by the court to have been incurred or suffered by any party by reason of the restraining order or injunction. The court may consider, upon proper showing, the grantor's equity in the property in determining the amount of said security.</w:t>
      </w:r>
    </w:p>
    <w:p>
      <w:pPr>
        <w:spacing w:before="0" w:after="0" w:line="408" w:lineRule="exact"/>
        <w:ind w:left="0" w:right="0" w:firstLine="576"/>
        <w:jc w:val="left"/>
      </w:pPr>
      <w:r>
        <w:rPr/>
        <w:t xml:space="preserve">(2) No court may grant a restraining order or injunction to restrain a trustee's sale unless the person seeking the restraint gives five days notice to the trustee of the time when, place where, and the judge before whom the application for the restraining order or injunction is to be made. This notice shall include copies of all pleadings and related documents to be given to the judge. No judge may act upon such application unless it is accompanied by proof, evidenced by return of a sheriff, the sheriff's deputy, or by any person eighteen years of age or over who is competent to be a witness, that the notice has been served on the trustee.</w:t>
      </w:r>
    </w:p>
    <w:p>
      <w:pPr>
        <w:spacing w:before="0" w:after="0" w:line="408" w:lineRule="exact"/>
        <w:ind w:left="0" w:right="0" w:firstLine="576"/>
        <w:jc w:val="left"/>
      </w:pPr>
      <w:r>
        <w:rPr/>
        <w:t xml:space="preserve">(3) If the restraining order or injunction is dissolved after the date of the trustee's sale set forth in the notice as provided in RCW 61.24.040</w:t>
      </w:r>
      <w:r>
        <w:t>((</w:t>
      </w:r>
      <w:r>
        <w:rPr>
          <w:strike/>
        </w:rPr>
        <w:t xml:space="preserve">(1)(f)</w:t>
      </w:r>
      <w:r>
        <w:t>))</w:t>
      </w:r>
      <w:r>
        <w:rPr/>
        <w:t xml:space="preserve"> </w:t>
      </w:r>
      <w:r>
        <w:rPr>
          <w:u w:val="single"/>
        </w:rPr>
        <w:t xml:space="preserve">(2)</w:t>
      </w:r>
      <w:r>
        <w:rPr/>
        <w:t xml:space="preserve">, the court granting such restraining order or injunction, or before whom the order or injunction is returnable, shall, at the request of the trustee, set a new sale date which shall be not less than forty-five days from the date of the order dissolving the restraining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(4) If a trustee's sale has been stayed as a result of the filing of a petition in federal bankruptcy court and an order is entered in federal bankruptcy court granting relief from the stay or closing or dismissing the case, or discharging the debtor with the effect of removing the stay, the trustee may set a new sale date which shall not be less than forty-five days after the date of the bankruptcy court's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(5) Subsections (3) and (4) of this section are permissive only and do not prohibit the trustee from proceeding with a trustee's sale following termination of any injunction or stay on any date to which such sale has been properly continued in accordance with RCW 61.24.040</w:t>
      </w:r>
      <w:r>
        <w:t>((</w:t>
      </w:r>
      <w:r>
        <w:rPr>
          <w:strike/>
        </w:rPr>
        <w:t xml:space="preserve">(6)</w:t>
      </w:r>
      <w:r>
        <w:t>))</w:t>
      </w:r>
      <w:r>
        <w:rPr/>
        <w:t xml:space="preserve"> </w:t>
      </w:r>
      <w:r>
        <w:rPr>
          <w:u w:val="single"/>
        </w:rPr>
        <w:t xml:space="preserve">(10)</w:t>
      </w:r>
      <w:r>
        <w:rPr/>
        <w:t xml:space="preserve">.</w:t>
      </w:r>
    </w:p>
    <w:p>
      <w:pPr>
        <w:spacing w:before="0" w:after="0" w:line="408" w:lineRule="exact"/>
        <w:ind w:left="0" w:right="0" w:firstLine="576"/>
        <w:jc w:val="left"/>
      </w:pPr>
      <w:r>
        <w:rPr/>
        <w:t xml:space="preserve">(6) The issuance of a restraining order or injunction shall not prohibit the trustee from continuing the sale as provided in RCW 61.24.040</w:t>
      </w:r>
      <w:r>
        <w:t>((</w:t>
      </w:r>
      <w:r>
        <w:rPr>
          <w:strike/>
        </w:rPr>
        <w:t xml:space="preserve">(6)</w:t>
      </w:r>
      <w:r>
        <w:t>))</w:t>
      </w:r>
      <w:r>
        <w:rPr/>
        <w:t xml:space="preserve"> </w:t>
      </w:r>
      <w:r>
        <w:rPr>
          <w:u w:val="single"/>
        </w:rPr>
        <w:t xml:space="preserve">(10)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No later than January 1, 2020, the department may from time to time adjust the amount of the fee, not to exceed three hundred twenty-five dollars, at a sufficient level to defray the costs of the program.</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trustee under a deed of trust is named as a defendant in an action or proceeding in which that deed of trust is the subject, and if there are no substantive allegations that seek damages from the trustee or seek to enjoin the foreclosure based on any alleged unlawful actions or omissions by the trustee, including causes of action where the trustee is a codefendant alleged to be jointly or derivatively liable with respect to the trustee's conduct as to the borrower or the trustee's statutory obligations, not less than thirty-five days after service of the summons and complaint on the trustee, the trustee may file a declaration of nonmonetary status. The declaration must be served on the parties in the manner set forth in superior court civil rule (CR) 5.</w:t>
      </w:r>
    </w:p>
    <w:p>
      <w:pPr>
        <w:spacing w:before="0" w:after="0" w:line="408" w:lineRule="exact"/>
        <w:ind w:left="0" w:right="0" w:firstLine="576"/>
        <w:jc w:val="left"/>
      </w:pPr>
      <w:r>
        <w:rPr/>
        <w:t xml:space="preserve">(2) The declaration of nonmonetary status must set forth:</w:t>
      </w:r>
    </w:p>
    <w:p>
      <w:pPr>
        <w:spacing w:before="0" w:after="0" w:line="408" w:lineRule="exact"/>
        <w:ind w:left="0" w:right="0" w:firstLine="576"/>
        <w:jc w:val="left"/>
      </w:pPr>
      <w:r>
        <w:rPr/>
        <w:t xml:space="preserve">(a) The status of the trustee as trustee under the deed of trust that is the subject of the action or proceeding;</w:t>
      </w:r>
    </w:p>
    <w:p>
      <w:pPr>
        <w:spacing w:before="0" w:after="0" w:line="408" w:lineRule="exact"/>
        <w:ind w:left="0" w:right="0" w:firstLine="576"/>
        <w:jc w:val="left"/>
      </w:pPr>
      <w:r>
        <w:rPr/>
        <w:t xml:space="preserve">(b) That the complaint or pleading does not assert any substantive allegations that seek damages from the trustee or seek to enjoin the foreclosure based on any alleged unlawful actions or omissions by the trustee;</w:t>
      </w:r>
    </w:p>
    <w:p>
      <w:pPr>
        <w:spacing w:before="0" w:after="0" w:line="408" w:lineRule="exact"/>
        <w:ind w:left="0" w:right="0" w:firstLine="576"/>
        <w:jc w:val="left"/>
      </w:pPr>
      <w:r>
        <w:rPr/>
        <w:t xml:space="preserve">(c) That it has been named as a defendant in the proceeding solely in its capacity as a trustee under the deed of trust and that the trustee agrees to be bound by whatever order or judgment is issued by the court regarding the subject deed of trust;</w:t>
      </w:r>
    </w:p>
    <w:p>
      <w:pPr>
        <w:spacing w:before="0" w:after="0" w:line="408" w:lineRule="exact"/>
        <w:ind w:left="0" w:right="0" w:firstLine="576"/>
        <w:jc w:val="left"/>
      </w:pPr>
      <w:r>
        <w:rPr/>
        <w:t xml:space="preserve">(d) A statement printed in no less than twelve-point font and bolded that reads:</w:t>
      </w:r>
    </w:p>
    <w:p>
      <w:pPr>
        <w:spacing w:before="0" w:after="0" w:line="408" w:lineRule="exact"/>
        <w:ind w:left="576" w:right="0" w:firstLine="0"/>
        <w:jc w:val="left"/>
      </w:pPr>
      <w:r>
        <w:rPr/>
        <w:t xml:space="preserve">"You have 30 days from service of this declaration to file and serve an objection with the court in compliance with RCW 61.24.--- (this section). If you do not timely object, the trustee will be deemed a nominal party to this action and you may not seek monetary relief against it. Your case may also be removed to federal court if the trustee was the only defendant domiciled in Washington."</w:t>
      </w:r>
    </w:p>
    <w:p>
      <w:pPr>
        <w:spacing w:before="0" w:after="0" w:line="408" w:lineRule="exact"/>
        <w:ind w:left="0" w:right="0" w:firstLine="576"/>
        <w:jc w:val="left"/>
      </w:pPr>
      <w:r>
        <w:rPr/>
        <w:t xml:space="preserve">(3) The parties who have appeared in the action or proceeding have thirty days from the service of the declaration by the trustee in which to object to the nonmonetary status of the trustee. Any objection must set forth the allegations against the trustee in a manner sufficient to satisfy the pleading standard of superior court civil rule (CR) 8(a).</w:t>
      </w:r>
    </w:p>
    <w:p>
      <w:pPr>
        <w:spacing w:before="0" w:after="0" w:line="408" w:lineRule="exact"/>
        <w:ind w:left="0" w:right="0" w:firstLine="576"/>
        <w:jc w:val="left"/>
      </w:pPr>
      <w:r>
        <w:rPr/>
        <w:t xml:space="preserve">(4) The objection must:</w:t>
      </w:r>
    </w:p>
    <w:p>
      <w:pPr>
        <w:spacing w:before="0" w:after="0" w:line="408" w:lineRule="exact"/>
        <w:ind w:left="0" w:right="0" w:firstLine="576"/>
        <w:jc w:val="left"/>
      </w:pPr>
      <w:r>
        <w:rPr/>
        <w:t xml:space="preserve">(a) Conform to superior court civil rule (CR) 10 and the caption must include the following identification: "Objection to Declaration of Nonmonetary Status of Defendant [trustee]";</w:t>
      </w:r>
    </w:p>
    <w:p>
      <w:pPr>
        <w:spacing w:before="0" w:after="0" w:line="408" w:lineRule="exact"/>
        <w:ind w:left="0" w:right="0" w:firstLine="576"/>
        <w:jc w:val="left"/>
      </w:pPr>
      <w:r>
        <w:rPr/>
        <w:t xml:space="preserve">(b) Contain a short and plain statement of the claim against defendant trustee as described in the complaint, showing that the plaintiff is entitled to relief. Allegations against the trustee may not be raised for the first time in the objection;</w:t>
      </w:r>
    </w:p>
    <w:p>
      <w:pPr>
        <w:spacing w:before="0" w:after="0" w:line="408" w:lineRule="exact"/>
        <w:ind w:left="0" w:right="0" w:firstLine="576"/>
        <w:jc w:val="left"/>
      </w:pPr>
      <w:r>
        <w:rPr/>
        <w:t xml:space="preserve">(c) Be filed with the court within thirty days of service of the trustee's declaration of nonmonetary status described in subsection (1) of this section;</w:t>
      </w:r>
    </w:p>
    <w:p>
      <w:pPr>
        <w:spacing w:before="0" w:after="0" w:line="408" w:lineRule="exact"/>
        <w:ind w:left="0" w:right="0" w:firstLine="576"/>
        <w:jc w:val="left"/>
      </w:pPr>
      <w:r>
        <w:rPr/>
        <w:t xml:space="preserve">(d) Be served on the trustee in the manner set forth in superior court civil rule (CR) 5.</w:t>
      </w:r>
    </w:p>
    <w:p>
      <w:pPr>
        <w:spacing w:before="0" w:after="0" w:line="408" w:lineRule="exact"/>
        <w:ind w:left="0" w:right="0" w:firstLine="576"/>
        <w:jc w:val="left"/>
      </w:pPr>
      <w:r>
        <w:rPr/>
        <w:t xml:space="preserve">(5) Upon filing of a timely objection with the court and timely service of the objection, the trustee must thereafter be required to participate in the action or proceeding.</w:t>
      </w:r>
    </w:p>
    <w:p>
      <w:pPr>
        <w:spacing w:before="0" w:after="0" w:line="408" w:lineRule="exact"/>
        <w:ind w:left="0" w:right="0" w:firstLine="576"/>
        <w:jc w:val="left"/>
      </w:pPr>
      <w:r>
        <w:rPr/>
        <w:t xml:space="preserve">(6) If an objection is not filed and served within the thirty-day objection period, the trustee: Is not required to participate any further in the action or proceeding; is not subject to any monetary awards as and for damages, attorneys' fees, or costs; and is bound by any court order relating to the subject deed of trust that is the subject of the action or proceeding. The trustee's nonmonetary status is not established until the thirty-day objection period has passed without filing and service of an objection pursuant to subsection (5) of this section.</w:t>
      </w:r>
    </w:p>
    <w:p>
      <w:pPr>
        <w:spacing w:before="0" w:after="0" w:line="408" w:lineRule="exact"/>
        <w:ind w:left="0" w:right="0" w:firstLine="576"/>
        <w:jc w:val="left"/>
      </w:pPr>
      <w:r>
        <w:rPr/>
        <w:t xml:space="preserve">(7) In the event a party or parties elect not to or fail to timely object to the declaration of nonmonetary status, but later through discovery or otherwise determine that the trustee should participate in the action, the parties may file and serve on all parties and the trustee a motion pursuant to superior court civil rule (CR) 15. Upon the court's granting of the motion, the trustee must thereafter be required to participate in the action or proceeding, and the court must provide sufficient time before trial for the trustee to be able to respond to the complaint, to conduct discovery, and to bring other pretrial motions in accordance with Washington superior court civil rules.</w:t>
      </w:r>
    </w:p>
    <w:p>
      <w:pPr>
        <w:spacing w:before="0" w:after="0" w:line="408" w:lineRule="exact"/>
        <w:ind w:left="0" w:right="0" w:firstLine="576"/>
        <w:jc w:val="left"/>
      </w:pPr>
      <w:r>
        <w:rPr/>
        <w:t xml:space="preserve">(8) Upon the filing of the declaration of nonmonetary status, the time within which the trustee is required to file an answer or other responsive pleading is tolled for the period of time within which the opposing parties may object to the declaration. Upon the timely service of an objection to the declaration of nonmonetary status, the trustee has thirty days from the date of service within which to file an answer or other responsive pleading to the complaint or cross-complaint.</w:t>
      </w:r>
    </w:p>
    <w:p>
      <w:pPr>
        <w:spacing w:before="0" w:after="0" w:line="408" w:lineRule="exact"/>
        <w:ind w:left="0" w:right="0" w:firstLine="576"/>
        <w:jc w:val="left"/>
      </w:pPr>
      <w:r>
        <w:rPr/>
        <w:t xml:space="preserve">(9) For purposes of this section, "trustee" includes any agent or employee of the trustee who performs some or all the duties of a trustee under this chapter and includes substituted trustees and agents of the trustee.</w:t>
      </w:r>
    </w:p>
    <w:p>
      <w:pPr>
        <w:spacing w:before="0" w:after="0" w:line="408" w:lineRule="exact"/>
        <w:ind w:left="0" w:right="0" w:firstLine="576"/>
        <w:jc w:val="left"/>
      </w:pPr>
      <w:r>
        <w:rPr/>
        <w:t xml:space="preserve">(10) If upon objection to the trustee's declaration of nonmonetary status the court finds that the declaration was filed without sufficient support based upon the allegations made in the complaint, the court may award the plaintiff attorneys' fees and costs associated with the objection together with any actual damages demonstrated. Any award may be made after notice and hearing with submission of evidence of the attorneys' fees and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any mortgagee of residential real property commences any legal action under RCW 61.12.040 to foreclose any reverse residential mortgage, such person shall give the mortgagor notice of such intention at least thirty-three days in advance. For the purposes of this section "residential real property" means property consisting solely of a single-family residence, a two-to-four-unit owner occupied dwelling, a residential condominium unit, a manufactured home, or a residential cooperative unit.</w:t>
      </w:r>
    </w:p>
    <w:p>
      <w:pPr>
        <w:spacing w:before="0" w:after="0" w:line="408" w:lineRule="exact"/>
        <w:ind w:left="0" w:right="0" w:firstLine="576"/>
        <w:jc w:val="left"/>
      </w:pPr>
      <w:r>
        <w:rPr/>
        <w:t xml:space="preserve">(2) Notice of intention to take action as specified in subsection (1) of this section must be in writing and sent to the resident mortgagor or, in case of the death of the last surviving mortgagor, addressed to any known surviving spouse or to "unknown heirs" of the residential mortgagor, by first-class and either certified or registered mail, return receipt requested, at his or her last known address and, if different, at the residence which is the subject of the residential mortgage.</w:t>
      </w:r>
    </w:p>
    <w:p>
      <w:pPr>
        <w:spacing w:before="0" w:after="0" w:line="408" w:lineRule="exact"/>
        <w:ind w:left="0" w:right="0" w:firstLine="576"/>
        <w:jc w:val="left"/>
      </w:pPr>
      <w:r>
        <w:rPr/>
        <w:t xml:space="preserve">(3) The written notice must be in English and Spanish, in a form to be published by the department of commerce, and must clearly and conspicuously state:</w:t>
      </w:r>
    </w:p>
    <w:p>
      <w:pPr>
        <w:spacing w:before="0" w:after="0" w:line="408" w:lineRule="exact"/>
        <w:ind w:left="0" w:right="0" w:firstLine="576"/>
        <w:jc w:val="left"/>
      </w:pPr>
      <w:r>
        <w:rPr/>
        <w:t xml:space="preserve">(a) The particular obligation or real estate security interest;</w:t>
      </w:r>
    </w:p>
    <w:p>
      <w:pPr>
        <w:spacing w:before="0" w:after="0" w:line="408" w:lineRule="exact"/>
        <w:ind w:left="0" w:right="0" w:firstLine="576"/>
        <w:jc w:val="left"/>
      </w:pPr>
      <w:r>
        <w:rPr/>
        <w:t xml:space="preserve">(b) The nature of the default claimed or the reason for acceleration of the mortgage;</w:t>
      </w:r>
    </w:p>
    <w:p>
      <w:pPr>
        <w:spacing w:before="0" w:after="0" w:line="408" w:lineRule="exact"/>
        <w:ind w:left="0" w:right="0" w:firstLine="576"/>
        <w:jc w:val="left"/>
      </w:pPr>
      <w:r>
        <w:rPr/>
        <w:t xml:space="preserve">(c) Except in cases where the acceleration is due to the death of the last surviving mortgagor, the right, if any, of the mortgagor to cure the default and exactly what performance, including what sum of money, if any, must be tendered to cure the default;</w:t>
      </w:r>
    </w:p>
    <w:p>
      <w:pPr>
        <w:spacing w:before="0" w:after="0" w:line="408" w:lineRule="exact"/>
        <w:ind w:left="0" w:right="0" w:firstLine="576"/>
        <w:jc w:val="left"/>
      </w:pPr>
      <w:r>
        <w:rPr/>
        <w:t xml:space="preserve">(d) Except in cases where the acceleration is due to the death of the last surviving mortgagor, the applicable time within which the mortgagor must cure the default;</w:t>
      </w:r>
    </w:p>
    <w:p>
      <w:pPr>
        <w:spacing w:before="0" w:after="0" w:line="408" w:lineRule="exact"/>
        <w:ind w:left="0" w:right="0" w:firstLine="576"/>
        <w:jc w:val="left"/>
      </w:pPr>
      <w:r>
        <w:rPr/>
        <w:t xml:space="preserve">(e) A statement printed in no less than twelve-point font and bolded that reads:</w:t>
      </w:r>
    </w:p>
    <w:p>
      <w:pPr>
        <w:spacing w:before="0" w:after="0" w:line="408" w:lineRule="exact"/>
        <w:ind w:left="0" w:right="0" w:firstLine="576"/>
        <w:jc w:val="left"/>
      </w:pPr>
      <w:r>
        <w:rPr/>
        <w:t xml:space="preserve">"If you do nothing to cure the default, if any, we intend to start a lawsuit to foreclose your mortgaged property. If the mortgage is foreclosed, your mortgaged property will be sold to pay off the mortgage debt. You should contact a housing counselor or attorney as soon as possible."; and</w:t>
      </w:r>
    </w:p>
    <w:p>
      <w:pPr>
        <w:spacing w:before="0" w:after="0" w:line="408" w:lineRule="exact"/>
        <w:ind w:left="0" w:right="0" w:firstLine="576"/>
        <w:jc w:val="left"/>
      </w:pPr>
      <w:r>
        <w:rPr/>
        <w:t xml:space="preserve">(f) The toll-free telephone number to find a department-approved home equity conversion mortgage counseling agency from the United States department of housing and urban development, the toll-free numbers for the statewide foreclosure hotline recommended by the housing finance commission, and the statewide civil legal aid hotline for assistance and referrals.</w:t>
      </w:r>
    </w:p>
    <w:p>
      <w:pPr>
        <w:spacing w:before="0" w:after="0" w:line="408" w:lineRule="exact"/>
        <w:ind w:left="0" w:right="0" w:firstLine="576"/>
        <w:jc w:val="left"/>
      </w:pPr>
      <w:r>
        <w:rPr/>
        <w:t xml:space="preserve">(4) It is an unfair or deceptive act in trade or commerce and an unfair method of competition in violation of the consumer protection act, chapter 19.86 RCW, affecting the public interest, for any person or entity to:</w:t>
      </w:r>
    </w:p>
    <w:p>
      <w:pPr>
        <w:spacing w:before="0" w:after="0" w:line="408" w:lineRule="exact"/>
        <w:ind w:left="0" w:right="0" w:firstLine="576"/>
        <w:jc w:val="left"/>
      </w:pPr>
      <w:r>
        <w:rPr/>
        <w:t xml:space="preserve">(a) Fail to send the notice as required in this section at least thirty-three days before accelerating the maturity of any reverse residential mortgage obligation or commencing any legal action under RCW 61.12.040;</w:t>
      </w:r>
    </w:p>
    <w:p>
      <w:pPr>
        <w:spacing w:before="0" w:after="0" w:line="408" w:lineRule="exact"/>
        <w:ind w:left="0" w:right="0" w:firstLine="576"/>
        <w:jc w:val="left"/>
      </w:pPr>
      <w:r>
        <w:rPr/>
        <w:t xml:space="preserve">(b) Fail to state the nature of the default, the correct amount or action that is required to cure the default, if any, or the time and manner in which to cure if cure is possible; or</w:t>
      </w:r>
    </w:p>
    <w:p>
      <w:pPr>
        <w:spacing w:before="0" w:after="0" w:line="408" w:lineRule="exact"/>
        <w:ind w:left="0" w:right="0" w:firstLine="576"/>
        <w:jc w:val="left"/>
      </w:pPr>
      <w:r>
        <w:rPr/>
        <w:t xml:space="preserve">(c) To send the notice required in this section without the advisory language and information about foreclosure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only to residential real property consisting solely of a single-family residence, a residential condominium unit, or a residential cooperative unit.</w:t>
      </w:r>
    </w:p>
    <w:p>
      <w:pPr>
        <w:spacing w:before="0" w:after="0" w:line="408" w:lineRule="exact"/>
        <w:ind w:left="0" w:right="0" w:firstLine="576"/>
        <w:jc w:val="left"/>
      </w:pPr>
      <w:r>
        <w:rPr/>
        <w:t xml:space="preserve">(2) For purposes of this chapter:</w:t>
      </w:r>
    </w:p>
    <w:p>
      <w:pPr>
        <w:spacing w:before="0" w:after="0" w:line="408" w:lineRule="exact"/>
        <w:ind w:left="0" w:right="0" w:firstLine="576"/>
        <w:jc w:val="left"/>
      </w:pPr>
      <w:r>
        <w:rPr/>
        <w:t xml:space="preserve">(a) Property is "abandoned" when there are no signs of occupancy and at least three of the following indications of abandonment are visible from the exterior:</w:t>
      </w:r>
    </w:p>
    <w:p>
      <w:pPr>
        <w:spacing w:before="0" w:after="0" w:line="408" w:lineRule="exact"/>
        <w:ind w:left="0" w:right="0" w:firstLine="576"/>
        <w:jc w:val="left"/>
      </w:pPr>
      <w:r>
        <w:rPr/>
        <w:t xml:space="preserve">(i) The absence of furnishings and personal items consistent with residential habitation;</w:t>
      </w:r>
    </w:p>
    <w:p>
      <w:pPr>
        <w:spacing w:before="0" w:after="0" w:line="408" w:lineRule="exact"/>
        <w:ind w:left="0" w:right="0" w:firstLine="576"/>
        <w:jc w:val="left"/>
      </w:pPr>
      <w:r>
        <w:rPr/>
        <w:t xml:space="preserve">(ii) The gas, electric, or water utility services have been disconnected;</w:t>
      </w:r>
    </w:p>
    <w:p>
      <w:pPr>
        <w:spacing w:before="0" w:after="0" w:line="408" w:lineRule="exact"/>
        <w:ind w:left="0" w:right="0" w:firstLine="576"/>
        <w:jc w:val="left"/>
      </w:pPr>
      <w:r>
        <w:rPr/>
        <w:t xml:space="preserve">(iii) Statements by neighbors, passersby, delivery agents, or government employees that the property is vacant;</w:t>
      </w:r>
    </w:p>
    <w:p>
      <w:pPr>
        <w:spacing w:before="0" w:after="0" w:line="408" w:lineRule="exact"/>
        <w:ind w:left="0" w:right="0" w:firstLine="576"/>
        <w:jc w:val="left"/>
      </w:pPr>
      <w:r>
        <w:rPr/>
        <w:t xml:space="preserve">(iv) Multiple windows on the property are boarded up or closed off or are smashed through, broken, or unhinged, or multiple window panes are broken and unrepaired;</w:t>
      </w:r>
    </w:p>
    <w:p>
      <w:pPr>
        <w:spacing w:before="0" w:after="0" w:line="408" w:lineRule="exact"/>
        <w:ind w:left="0" w:right="0" w:firstLine="576"/>
        <w:jc w:val="left"/>
      </w:pPr>
      <w:r>
        <w:rPr/>
        <w:t xml:space="preserve">(v) Doors on the residence are substantially damaged, broken off, unhinged, or conspicuously open;</w:t>
      </w:r>
    </w:p>
    <w:p>
      <w:pPr>
        <w:spacing w:before="0" w:after="0" w:line="408" w:lineRule="exact"/>
        <w:ind w:left="0" w:right="0" w:firstLine="576"/>
        <w:jc w:val="left"/>
      </w:pPr>
      <w:r>
        <w:rPr/>
        <w:t xml:space="preserve">(vi) The property has been stripped of copper or other materials, or interior fixtures have been removed;</w:t>
      </w:r>
    </w:p>
    <w:p>
      <w:pPr>
        <w:spacing w:before="0" w:after="0" w:line="408" w:lineRule="exact"/>
        <w:ind w:left="0" w:right="0" w:firstLine="576"/>
        <w:jc w:val="left"/>
      </w:pPr>
      <w:r>
        <w:rPr/>
        <w:t xml:space="preserve">(vii) Law enforcement officials have received at least one report within the immediately preceding six months of trespassing or vandalism or other illegal activities by persons who enter unlawfully on the property;</w:t>
      </w:r>
    </w:p>
    <w:p>
      <w:pPr>
        <w:spacing w:before="0" w:after="0" w:line="408" w:lineRule="exact"/>
        <w:ind w:left="0" w:right="0" w:firstLine="576"/>
        <w:jc w:val="left"/>
      </w:pPr>
      <w:r>
        <w:rPr/>
        <w:t xml:space="preserve">(viii) The property has been declared unfit for occupancy and ordered to remain vacant and unoccupied pursuant to an order issued by a municipal or county authority or a court of competent jurisdiction;</w:t>
      </w:r>
    </w:p>
    <w:p>
      <w:pPr>
        <w:spacing w:before="0" w:after="0" w:line="408" w:lineRule="exact"/>
        <w:ind w:left="0" w:right="0" w:firstLine="576"/>
        <w:jc w:val="left"/>
      </w:pPr>
      <w:r>
        <w:rPr/>
        <w:t xml:space="preserve">(ix) Construction was initiated on the property and was discontinued before completion, leaving a building unsuitable for occupancy, and construction has not taken place for at least six months;</w:t>
      </w:r>
    </w:p>
    <w:p>
      <w:pPr>
        <w:spacing w:before="0" w:after="0" w:line="408" w:lineRule="exact"/>
        <w:ind w:left="0" w:right="0" w:firstLine="576"/>
        <w:jc w:val="left"/>
      </w:pPr>
      <w:r>
        <w:rPr/>
        <w:t xml:space="preserve">(x) Newspapers, circulars, flyers, or mail has accumulated on the property or the United States postal service has discontinued delivery to the property;</w:t>
      </w:r>
    </w:p>
    <w:p>
      <w:pPr>
        <w:spacing w:before="0" w:after="0" w:line="408" w:lineRule="exact"/>
        <w:ind w:left="0" w:right="0" w:firstLine="576"/>
        <w:jc w:val="left"/>
      </w:pPr>
      <w:r>
        <w:rPr/>
        <w:t xml:space="preserve">(xi) Rubbish, trash, debris, neglected vegetation, or natural overgrowth has accumulated on the property;</w:t>
      </w:r>
    </w:p>
    <w:p>
      <w:pPr>
        <w:spacing w:before="0" w:after="0" w:line="408" w:lineRule="exact"/>
        <w:ind w:left="0" w:right="0" w:firstLine="576"/>
        <w:jc w:val="left"/>
      </w:pPr>
      <w:r>
        <w:rPr/>
        <w:t xml:space="preserve">(xii) Hazardous, noxious, or unhealthy substances or materials have accumulated on the property;</w:t>
      </w:r>
    </w:p>
    <w:p>
      <w:pPr>
        <w:spacing w:before="0" w:after="0" w:line="408" w:lineRule="exact"/>
        <w:ind w:left="0" w:right="0" w:firstLine="576"/>
        <w:jc w:val="left"/>
      </w:pPr>
      <w:r>
        <w:rPr/>
        <w:t xml:space="preserve">(xiii) Other credible evidence exists indicating the intent to vacate and abandon the property.</w:t>
      </w:r>
    </w:p>
    <w:p>
      <w:pPr>
        <w:spacing w:before="0" w:after="0" w:line="408" w:lineRule="exact"/>
        <w:ind w:left="0" w:right="0" w:firstLine="576"/>
        <w:jc w:val="left"/>
      </w:pPr>
      <w:r>
        <w:rPr/>
        <w:t xml:space="preserve">(b) Property is in "mid-foreclosure" when, pursuant to chapter 61.24 RCW, a notice of default or notice of preforeclosure options has been issued or a notice of trustee's sale has been recorded in the office of the county auditor.</w:t>
      </w:r>
    </w:p>
    <w:p>
      <w:pPr>
        <w:spacing w:before="0" w:after="0" w:line="408" w:lineRule="exact"/>
        <w:ind w:left="0" w:right="0" w:firstLine="576"/>
        <w:jc w:val="left"/>
      </w:pPr>
      <w:r>
        <w:rPr/>
        <w:t xml:space="preserve">(c) Property is a "nuisance" when so determined by a county, city, or town pursuant to its authority under chapter 7.48 RCW or RCW 35.22.280, 35.23.440, 35.27.410, or 36.32.120.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city, or town may notify a mortgage servicer that a property has been determined to be abandoned, in mid-foreclosure, and a nuisance.</w:t>
      </w:r>
    </w:p>
    <w:p>
      <w:pPr>
        <w:spacing w:before="0" w:after="0" w:line="408" w:lineRule="exact"/>
        <w:ind w:left="0" w:right="0" w:firstLine="576"/>
        <w:jc w:val="left"/>
      </w:pPr>
      <w:r>
        <w:rPr/>
        <w:t xml:space="preserve">(2) A notice issued pursuant to this section must:</w:t>
      </w:r>
    </w:p>
    <w:p>
      <w:pPr>
        <w:spacing w:before="0" w:after="0" w:line="408" w:lineRule="exact"/>
        <w:ind w:left="0" w:right="0" w:firstLine="576"/>
        <w:jc w:val="left"/>
      </w:pPr>
      <w:r>
        <w:rPr/>
        <w:t xml:space="preserve">(a) Be accompanied by an affidavit or a declaration made under penalty of perjury by a county, city, or town official that a property is abandoned, in mid-foreclosure, and a nuisance, and the affidavit or declaration must outline at least three indicators of abandonment and be supported with time and date stamped photographs, a finding that the property is a nuisance, and a copy of the notice of default, notice of preforeclosure options, or notice of trustee's sale; and</w:t>
      </w:r>
    </w:p>
    <w:p>
      <w:pPr>
        <w:spacing w:before="0" w:after="0" w:line="408" w:lineRule="exact"/>
        <w:ind w:left="0" w:right="0" w:firstLine="576"/>
        <w:jc w:val="left"/>
      </w:pPr>
      <w:r>
        <w:rPr/>
        <w:t xml:space="preserve">(b) Be sent to the mortgage servicer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mortgage servicer may contact a county, city, or town regarding a property it believes to be abandoned, and a nuisance and request that a county, city, or town official visit the property and make a determination as to whether the residential real property is abandoned and a nuisance. When making such a request, the mortgage servicer must furnish a copy of a notice of default, notice of preforeclosure options, or notice of trustee's sale applicable to the property.</w:t>
      </w:r>
    </w:p>
    <w:p>
      <w:pPr>
        <w:spacing w:before="0" w:after="0" w:line="408" w:lineRule="exact"/>
        <w:ind w:left="0" w:right="0" w:firstLine="576"/>
        <w:jc w:val="left"/>
      </w:pPr>
      <w:r>
        <w:rPr/>
        <w:t xml:space="preserve">(2) A county, city, or town shall respond to such a request within fifteen calendar days of receipt and notify the mortgage servicer:</w:t>
      </w:r>
    </w:p>
    <w:p>
      <w:pPr>
        <w:spacing w:before="0" w:after="0" w:line="408" w:lineRule="exact"/>
        <w:ind w:left="0" w:right="0" w:firstLine="576"/>
        <w:jc w:val="left"/>
      </w:pPr>
      <w:r>
        <w:rPr/>
        <w:t xml:space="preserve">(a) That a county, city, or town official has visited the property and determined that the property is not abandoned, or not a nuisance;</w:t>
      </w:r>
    </w:p>
    <w:p>
      <w:pPr>
        <w:spacing w:before="0" w:after="0" w:line="408" w:lineRule="exact"/>
        <w:ind w:left="0" w:right="0" w:firstLine="576"/>
        <w:jc w:val="left"/>
      </w:pPr>
      <w:r>
        <w:rPr/>
        <w:t xml:space="preserve">(b) That a county, city, or town official has visited the property and determined that the property is abandoned, in mid-foreclosure, and a nuisance. In this case, the notification shall be accompanied by an affidavit or a declaration made under penalty of perjury by a county, city, or town official that a property is abandoned, mid-foreclosure, and a nuisance, and the affidavit or declaration must outline at least three indicators of abandonment and be supported with time and date stamped photographs, a finding that the property is a nuisance, and a copy of the notice of default or notice of trustee's sale supplied by the mortgage servicer; or</w:t>
      </w:r>
    </w:p>
    <w:p>
      <w:pPr>
        <w:spacing w:before="0" w:after="0" w:line="408" w:lineRule="exact"/>
        <w:ind w:left="0" w:right="0" w:firstLine="576"/>
        <w:jc w:val="left"/>
      </w:pPr>
      <w:r>
        <w:rPr/>
        <w:t xml:space="preserve">(c) That the county, city, or town does not have adequate resources or is otherwise unable to make the requested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from a county, city, or town of an affidavit or declaration under penalty of perjury that a property is abandoned, in mid-foreclosure, and a nuisance, a mortgage servicer or its designee may enter the property for the purposes of abating the identified nuisance, preserving property, or preventing waste and may take steps to secure the property, including but not limited to:</w:t>
      </w:r>
    </w:p>
    <w:p>
      <w:pPr>
        <w:spacing w:before="0" w:after="0" w:line="408" w:lineRule="exact"/>
        <w:ind w:left="0" w:right="0" w:firstLine="576"/>
        <w:jc w:val="left"/>
      </w:pPr>
      <w:r>
        <w:rPr/>
        <w:t xml:space="preserve">(a) Installing missing locks on exterior doors. If any locks are changed the mortgage servicer must provide a lock box. Working locks may not be removed or replaced unless all doors are secured and there is no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(f) Performing routine yard maintenance on the exterior of the residence; and</w:t>
      </w:r>
    </w:p>
    <w:p>
      <w:pPr>
        <w:spacing w:before="0" w:after="0" w:line="408" w:lineRule="exact"/>
        <w:ind w:left="0" w:right="0" w:firstLine="576"/>
        <w:jc w:val="left"/>
      </w:pPr>
      <w:r>
        <w:rPr/>
        <w:t xml:space="preserve">(g) Performing pest and insect control services.</w:t>
      </w:r>
    </w:p>
    <w:p>
      <w:pPr>
        <w:spacing w:before="0" w:after="0" w:line="408" w:lineRule="exact"/>
        <w:ind w:left="0" w:right="0" w:firstLine="576"/>
        <w:jc w:val="left"/>
      </w:pPr>
      <w:r>
        <w:rPr/>
        <w:t xml:space="preserve">(2) The mortgage servicer or its designee must make a record of entry by means of dated and time-stamped photographs showing the manner of entry and personal items visible within the residence upon entry.</w:t>
      </w:r>
    </w:p>
    <w:p>
      <w:pPr>
        <w:spacing w:before="0" w:after="0" w:line="408" w:lineRule="exact"/>
        <w:ind w:left="0" w:right="0" w:firstLine="576"/>
        <w:jc w:val="left"/>
      </w:pPr>
      <w:r>
        <w:rPr/>
        <w:t xml:space="preserve">(3) Neither the mortgage servicer nor its designee may remove personal items from the property unless the items are hazardous or perishable, and in case of such removal must inventory the items removed.</w:t>
      </w:r>
    </w:p>
    <w:p>
      <w:pPr>
        <w:spacing w:before="0" w:after="0" w:line="408" w:lineRule="exact"/>
        <w:ind w:left="0" w:right="0" w:firstLine="576"/>
        <w:jc w:val="left"/>
      </w:pPr>
      <w:r>
        <w:rPr/>
        <w:t xml:space="preserve">(4) Prior to each entry, a mortgage servicer or its designee must ensure that a notice is posted on the front door that includes the following:</w:t>
      </w:r>
    </w:p>
    <w:p>
      <w:pPr>
        <w:spacing w:before="0" w:after="0" w:line="408" w:lineRule="exact"/>
        <w:ind w:left="0" w:right="0" w:firstLine="576"/>
        <w:jc w:val="left"/>
      </w:pPr>
      <w:r>
        <w:rPr/>
        <w:t xml:space="preserve">(a) A statement that, pursuant to RCW 7.28.230, until foreclosure and sale is complete the property owner or occupant authorized by the owner has the right to possession;</w:t>
      </w:r>
    </w:p>
    <w:p>
      <w:pPr>
        <w:spacing w:before="0" w:after="0" w:line="408" w:lineRule="exact"/>
        <w:ind w:left="0" w:right="0" w:firstLine="576"/>
        <w:jc w:val="left"/>
      </w:pPr>
      <w:r>
        <w:rPr/>
        <w:t xml:space="preserve">(b) A statement that the property owner or occupant authorized by the owner has the right to request that any locks installed by the mortgage servicer or its designee be removed within twenty-four hours and replaced with new locks accessible by the property owner or occupant authorized by the owner only;</w:t>
      </w:r>
    </w:p>
    <w:p>
      <w:pPr>
        <w:spacing w:before="0" w:after="0" w:line="408" w:lineRule="exact"/>
        <w:ind w:left="0" w:right="0" w:firstLine="576"/>
        <w:jc w:val="left"/>
      </w:pPr>
      <w:r>
        <w:rPr/>
        <w:t xml:space="preserve">(c) A toll-free, twenty-four hour number that the property owner or occupant authorized by the owner may call in order to gain timely entry, which entry must be provided no later than the next business day; and</w:t>
      </w:r>
    </w:p>
    <w:p>
      <w:pPr>
        <w:spacing w:before="0" w:after="0" w:line="408" w:lineRule="exact"/>
        <w:ind w:left="0" w:right="0" w:firstLine="576"/>
        <w:jc w:val="left"/>
      </w:pPr>
      <w:r>
        <w:rPr/>
        <w:t xml:space="preserve">(d) The phone number of the statewide foreclosure hotline recommended by the housing finance commission and the statewide civil legal aid hotline, together with a statement that the property owner may have the right to participate in foreclosure mediation pursuant to RCW 61.24.163.</w:t>
      </w:r>
    </w:p>
    <w:p>
      <w:pPr>
        <w:spacing w:before="0" w:after="0" w:line="408" w:lineRule="exact"/>
        <w:ind w:left="0" w:right="0" w:firstLine="576"/>
        <w:jc w:val="left"/>
      </w:pPr>
      <w:r>
        <w:rPr/>
        <w:t xml:space="preserve">(5) Records of entry onto property pursuant to this section must be maintained by the mortgage servicer or its designee for at least four years from the date of entry.</w:t>
      </w:r>
    </w:p>
    <w:p>
      <w:pPr>
        <w:spacing w:before="0" w:after="0" w:line="408" w:lineRule="exact"/>
        <w:ind w:left="0" w:right="0" w:firstLine="576"/>
        <w:jc w:val="left"/>
      </w:pPr>
      <w:r>
        <w:rPr/>
        <w:t xml:space="preserve">(6) If, upon entry, the property is found to be occupied, the mortgage servicer or its designee must leave the property immediately,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(7) In the event a mortgage servicer is contacted by the borrower and notified that the property is not abandoned, the mortgage servicer must so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(8) A county, city, or town is not liable for any damages caused by any act or omission of the mortgage servicer or its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 mortgage servicer receives notice from a county, city, or town pursuant to section 11 or 12(2)(b) of this act that a property is abandoned, in mid-foreclosure, and a nuisance, and the mortgage servicer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property has been the subject of foreclosure, a county, city or town may notify the grantee of the trustee's deed or sheriff's deed, via certified mail, that a property is a nuisance. Upon receipt of such a notice, the grantee of the trustee's deed or sheriff's deed shall respond within fifteen calendar days and provide one of the following responses:</w:t>
      </w:r>
    </w:p>
    <w:p>
      <w:pPr>
        <w:spacing w:before="0" w:after="0" w:line="408" w:lineRule="exact"/>
        <w:ind w:left="0" w:right="0" w:firstLine="576"/>
        <w:jc w:val="left"/>
      </w:pPr>
      <w:r>
        <w:rPr/>
        <w:t xml:space="preserve">(a) That the grantee of the trustee's deed or sheriff's deed will abate the nuisance within the time prescribed by local ordinance; or</w:t>
      </w:r>
    </w:p>
    <w:p>
      <w:pPr>
        <w:spacing w:before="0" w:after="0" w:line="408" w:lineRule="exact"/>
        <w:ind w:left="0" w:right="0" w:firstLine="576"/>
        <w:jc w:val="left"/>
      </w:pPr>
      <w:r>
        <w:rPr/>
        <w:t xml:space="preserve">(b) That the grantee of the trustee's deed or sheriff's deed does not have adequate resources to abate the nuisance within the time limits required by local ordinance.</w:t>
      </w:r>
    </w:p>
    <w:p>
      <w:pPr>
        <w:spacing w:before="0" w:after="0" w:line="408" w:lineRule="exact"/>
        <w:ind w:left="0" w:right="0" w:firstLine="576"/>
        <w:jc w:val="left"/>
      </w:pPr>
      <w:r>
        <w:rPr/>
        <w:t xml:space="preserve">(2) If the grantee of the trustee's deed or sheriff's deed is notified and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after issuance of a notice pursuant to section 11, 12(2)(b), or 15 of this act, a nuisance has not been abated within the time prescribed by local ordinance and the county, city, or town has exercised its authority under chapter 7.48 RCW, RCW 35.22.280, 35.23.440, 35.27.410, 36.32.120, or any other applicable law to abate the nuisance, the county, city, or town may recover its costs by levying an assessment on the real property on which the nuisance is situated to reimburse the county, city, or town for the costs of abatement, excluding any associated fines or penalties. This assessment constitutes a lien against the property, and is binding upon successors in title only from the date the lien is recorded in the county in which the real property is located. This assessment is of equal rank with state, county, and municipal taxes and is assessed against the real property upon which cost was incurred unless such amount is previously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provided pursuant to this chapter is in addition to, and not in limitation of,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17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082ec904425844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2057.PL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5b493efe34f7e" /><Relationship Type="http://schemas.openxmlformats.org/officeDocument/2006/relationships/footer" Target="/word/footer.xml" Id="R082ec904425844a0" /></Relationships>
</file>