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699629bb1f47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2282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Hansen, Cody, Goodman, Pettigrew, Tarleton, Fey, DeBolt, Bergquist, Springer, Santos, McBride, Smith, Chapman, Slatter, Peterson, Wylie, Fitzgibbon, Morris, Stonier, Lytton, Sawyer, Robinson, Tharinger, Kagi, Pellicciotti, Dolan, Orwall, Valdez, Haler, Kilduff, Senn, Frame, Sells, Kirby, Stanford, Blake, Reeves, Clibborn, Macri, Kloba, Appleton, Stambaugh, Jinkins, Ormsby, Ryu, Hayes, Pollet, Doglio, Ortiz-Self, Riccelli, McDonald, and Gregerson)</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 open internet in Washington state; adding a new chapter to Title 19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providing broadband internet access service in Washington state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The disclosure must be made via a publicly available, easily accessible web site.</w:t>
      </w:r>
    </w:p>
    <w:p>
      <w:pPr>
        <w:spacing w:before="0" w:after="0" w:line="408" w:lineRule="exact"/>
        <w:ind w:left="0" w:right="0" w:firstLine="576"/>
        <w:jc w:val="left"/>
      </w:pPr>
      <w:r>
        <w:rPr/>
        <w:t xml:space="preserve">(2)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or</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(3) Nothing in this chapter:</w:t>
      </w:r>
    </w:p>
    <w:p>
      <w:pPr>
        <w:spacing w:before="0" w:after="0" w:line="408" w:lineRule="exact"/>
        <w:ind w:left="0" w:right="0" w:firstLine="576"/>
        <w:jc w:val="left"/>
      </w:pPr>
      <w:r>
        <w:rPr/>
        <w:t xml:space="preserve">(a)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or</w:t>
      </w:r>
    </w:p>
    <w:p>
      <w:pPr>
        <w:spacing w:before="0" w:after="0" w:line="408" w:lineRule="exact"/>
        <w:ind w:left="0" w:right="0" w:firstLine="576"/>
        <w:jc w:val="left"/>
      </w:pPr>
      <w:r>
        <w:rPr/>
        <w:t xml:space="preserve">(b) Prohibits reasonable efforts by a provider of broadband internet access service to address copyright infringement or other unlawful activity.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t xml:space="preserve">(c) "End user" means any individual or entity that uses a broadband internet access service.</w:t>
      </w:r>
    </w:p>
    <w:p>
      <w:pPr>
        <w:spacing w:before="0" w:after="0" w:line="408" w:lineRule="exact"/>
        <w:ind w:left="0" w:right="0" w:firstLine="576"/>
        <w:jc w:val="left"/>
      </w:pPr>
      <w:r>
        <w:rPr/>
        <w:t xml:space="preserve">(d)(i)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(A) In exchange for consideration, monetary or otherwise, from a third party; or</w:t>
      </w:r>
    </w:p>
    <w:p>
      <w:pPr>
        <w:spacing w:before="0" w:after="0" w:line="408" w:lineRule="exact"/>
        <w:ind w:left="0" w:right="0" w:firstLine="576"/>
        <w:jc w:val="left"/>
      </w:pPr>
      <w:r>
        <w:rPr/>
        <w:t xml:space="preserve">(B) To benefit an affiliated entity.</w:t>
      </w:r>
    </w:p>
    <w:p>
      <w:pPr>
        <w:spacing w:before="0" w:after="0" w:line="408" w:lineRule="exact"/>
        <w:ind w:left="0" w:right="0" w:firstLine="576"/>
        <w:jc w:val="left"/>
      </w:pPr>
      <w:r>
        <w:rPr/>
        <w:t xml:space="preserve">(ii) "Paid prioritization" does not include the provision of tiered internet access service or offerings to a retail end user.</w:t>
      </w:r>
    </w:p>
    <w:p>
      <w:pPr>
        <w:spacing w:before="0" w:after="0" w:line="408" w:lineRule="exact"/>
        <w:ind w:left="0" w:right="0" w:firstLine="576"/>
        <w:jc w:val="left"/>
      </w:pPr>
      <w:r>
        <w:rPr/>
        <w:t xml:space="preserve">(e)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t xml:space="preserve">(f) "Tiered internet access service" means offering end users a choice between different packages of service with clearly advertised speeds, prices, terms, and conditions; for example, a ten megabit service for one price and a fifty megabit service for a different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later of the following:</w:t>
      </w:r>
    </w:p>
    <w:p>
      <w:pPr>
        <w:spacing w:before="0" w:after="0" w:line="408" w:lineRule="exact"/>
        <w:ind w:left="0" w:right="0" w:firstLine="576"/>
        <w:jc w:val="left"/>
      </w:pPr>
      <w:r>
        <w:rPr/>
        <w:t xml:space="preserve">(a) Ninety days after adjournment of the legislative session in which this act is passed; or</w:t>
      </w:r>
    </w:p>
    <w:p>
      <w:pPr>
        <w:spacing w:before="0" w:after="0" w:line="408" w:lineRule="exact"/>
        <w:ind w:left="0" w:right="0" w:firstLine="576"/>
        <w:jc w:val="left"/>
      </w:pPr>
      <w:r>
        <w:rPr/>
        <w:t xml:space="preserve">(b) The date the federal communications commission's restoring internet freedom order (FCC 17-166) as issued on January 4, 2018, takes effect.</w:t>
      </w:r>
    </w:p>
    <w:p>
      <w:pPr>
        <w:spacing w:before="0" w:after="0" w:line="408" w:lineRule="exact"/>
        <w:ind w:left="0" w:right="0" w:firstLine="576"/>
        <w:jc w:val="left"/>
      </w:pPr>
      <w:r>
        <w:rPr/>
        <w:t xml:space="preserve">(2) The utilities and transportation commission must provide notice of the effective date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58a6b7f7db549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73d554dbf4dfb" /><Relationship Type="http://schemas.openxmlformats.org/officeDocument/2006/relationships/footer" Target="/word/footer.xml" Id="Rd58a6b7f7db54975" /></Relationships>
</file>