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e8629dac04a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2408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Jinkins, Goodman, Johnson, Slatter, Tharinger, Stanford, Macri, Ormsby, Doglio,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48.41.200 and 48.41.090;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state and school employees to ensure private insurance coverage is available in all counties where those insurers offer coverage to state and school employees;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beginning January 1, 2020, at least one health carrier in an insurance holding company system must offer in the exchange at least one silver and one gold qualified health plan in any county in which any health carrier in that insurance holding company system offers a fully insured health plan that was approved, on or after the effective date of this section, by the school employees' benefits board or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the school employees' benefits board or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the school employees' benefits board or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0" w:after="0" w:line="408" w:lineRule="exact"/>
        <w:ind w:left="0" w:right="0" w:firstLine="576"/>
        <w:jc w:val="left"/>
      </w:pPr>
      <w:r>
        <w:rPr/>
        <w:t xml:space="preserve">(5) For purposes of this section, "insurance holding company system" has the same meaning as in RCW 48.31B.005.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w:t>
      </w:r>
      <w:r>
        <w:rPr>
          <w:u w:val="single"/>
        </w:rPr>
        <w:t xml:space="preserve">, other than a person eligible for a rate reduction under subsection (4) of this section,</w:t>
      </w:r>
      <w:r>
        <w:rPr/>
        <w:t xml:space="preserve">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w:t>
      </w:r>
      <w:r>
        <w:rPr>
          <w:u w:val="single"/>
        </w:rPr>
        <w:t xml:space="preserve">, other than a person eligible for a rate reduction under subsection (4) of this section,</w:t>
      </w:r>
      <w:r>
        <w:rPr/>
        <w:t xml:space="preserve">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shall be reduced as follows:</w:t>
      </w:r>
    </w:p>
    <w:p>
      <w:pPr>
        <w:spacing w:before="0" w:after="0" w:line="408" w:lineRule="exact"/>
        <w:ind w:left="0" w:right="0" w:firstLine="576"/>
        <w:jc w:val="left"/>
      </w:pPr>
      <w:r>
        <w:rPr>
          <w:u w:val="single"/>
        </w:rPr>
        <w:t xml:space="preserve">(a) The rate for a person whose current modified adjusted gross income is less than or equal to two hundred percent of the federal poverty level must be reduced by eighty percent from what it otherwise would be;</w:t>
      </w:r>
    </w:p>
    <w:p>
      <w:pPr>
        <w:spacing w:before="0" w:after="0" w:line="408" w:lineRule="exact"/>
        <w:ind w:left="0" w:right="0" w:firstLine="576"/>
        <w:jc w:val="left"/>
      </w:pPr>
      <w:r>
        <w:rPr>
          <w:u w:val="single"/>
        </w:rPr>
        <w:t xml:space="preserve">(b) The rate for a person whose current modified adjusted gross income is more than two hundred percent, but less than or equal to three hundred percent of the federal poverty level must be reduced by sixty percent from what it otherwise would be;</w:t>
      </w:r>
    </w:p>
    <w:p>
      <w:pPr>
        <w:spacing w:before="0" w:after="0" w:line="408" w:lineRule="exact"/>
        <w:ind w:left="0" w:right="0" w:firstLine="576"/>
        <w:jc w:val="left"/>
      </w:pPr>
      <w:r>
        <w:rPr>
          <w:u w:val="single"/>
        </w:rPr>
        <w:t xml:space="preserve">(c) The rate for a person whose current modified adjusted gross income is more than three hundred percent, but less than or equal to four hundred percent of the federal poverty level must be reduced by fifty percent from what it otherwise would be; and</w:t>
      </w:r>
    </w:p>
    <w:p>
      <w:pPr>
        <w:spacing w:before="0" w:after="0" w:line="408" w:lineRule="exact"/>
        <w:ind w:left="0" w:right="0" w:firstLine="576"/>
        <w:jc w:val="left"/>
      </w:pPr>
      <w:r>
        <w:rPr>
          <w:u w:val="single"/>
        </w:rPr>
        <w:t xml:space="preserve">(d) The rate for a person whose current modified adjusted gross income is more than four hundred percent of the federal poverty level must be reduced by thirty percent from what it otherwise would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expire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b0bae00844c47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1ce9d22fe45b6" /><Relationship Type="http://schemas.openxmlformats.org/officeDocument/2006/relationships/footer" Target="/word/footer.xml" Id="R7b0bae00844c47de" /></Relationships>
</file>