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71a9203b2414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2639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2639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2639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Buys, Peterson, Stokesbary, Graves, Stambaugh, Bergquist, Vick, Walsh, Volz, Shea, Blake, and Young)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certain mobile food units from state and local regulations pertaining to commissaries or servicing areas;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purposes of this section, 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"Commissary" means an approved food establishment where food is stored, prepared, portioned, or packaged for service elsewhere.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"Mobile food unit" means a readily movable food establishment.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"Servicing area" means an operating base location to which a mobile food unit or transportation vehicle returns regularly for such things as vehicle and equipment cleaning, discharging liquid or solid wastes, refilling water tanks and ice bins, and boarding food.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regulatory authority must approve a request for a mobile food unit to be exempt from state board of health or local health jurisdiction requirements to operate from an approved commissary or servicing area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mobile food unit contains all equipment and utensils needed for complete onboard preparation of an approved menu;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mobile food unit is protected from environmental contamination when not in 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mobile food unit can maintain required food storage temperatures during storage, preparation, service, and transit;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mobile food unit has a dedicated handwashing sink to allow frequent handwashing at all times;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mobile food unit has adequate water capacity and warewashing facilities to clean all multiuse utensils used on the mobile unit at a frequency specified in state board of health rules;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mobile food unit is able to store tools onboard needed for cleaning and sanitizing;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All food, water, and ice used on the mobile food unit is prepared onboard or otherwise obtained from approved sources;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Wastewater and garbage will be sanitarily removed from the mobile food unit following an approved written plan or by a licensed service provider;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local health officer approves the menu and plan of operations for the mobile food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4bcd6d16685432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2639.PL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0cd9fbb642b9" /><Relationship Type="http://schemas.openxmlformats.org/officeDocument/2006/relationships/footer" Target="/word/footer.xml" Id="R64bcd6d16685432c" /></Relationships>
</file>