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85237940c841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2664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2664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Dye, Doglio, Jenkin, Chapman, Vick, Stonier, Wylie, and Walsh)</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existing telecommunications authority to all ports in Washington state in order to facilitate public-private partnerships in wholesale telecommunications services and infrastructure; and amending RCW 53.08.005, 53.08.370, and 53.08.380.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2000 c 81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t>((</w:t>
      </w:r>
      <w:r>
        <w:rPr>
          <w:strike/>
        </w:rPr>
        <w:t xml:space="preserve">"Rural port district" means a port district formed under chapter 53.04 RCW and located in a county with an average population density of fewer than one hundred persons per square mile.</w:t>
      </w:r>
    </w:p>
    <w:p>
      <w:pPr>
        <w:spacing w:before="0" w:after="0" w:line="408" w:lineRule="exact"/>
        <w:ind w:left="0" w:right="0" w:firstLine="576"/>
        <w:jc w:val="left"/>
      </w:pPr>
      <w:r>
        <w:rPr>
          <w:strike/>
        </w:rPr>
        <w:t xml:space="preserve">(3)</w:t>
      </w:r>
      <w:r>
        <w:t>))</w:t>
      </w:r>
      <w:r>
        <w:rPr/>
        <w:t xml:space="preserve"> "Telecommunications" has the same meaning as contained in RCW 80.04.010.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"Wholesale telecommunications services" means the provision of telecommunications services or facilities for resale by an entity authorized to provide telecommunications services to the general public and internet service providers. </w:t>
      </w:r>
      <w:r>
        <w:rPr>
          <w:u w:val="single"/>
        </w:rPr>
        <w:t xml:space="preserve">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w:t>
      </w:r>
      <w:r>
        <w:t>((</w:t>
      </w:r>
      <w:r>
        <w:rPr>
          <w:strike/>
        </w:rPr>
        <w:t xml:space="preserve">rural</w:t>
      </w:r>
      <w:r>
        <w:t>))</w:t>
      </w:r>
      <w:r>
        <w:rPr/>
        <w:t xml:space="preserve">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A </w:t>
      </w:r>
      <w:r>
        <w:t>((</w:t>
      </w:r>
      <w:r>
        <w:rPr>
          <w:strike/>
        </w:rPr>
        <w:t xml:space="preserve">rural</w:t>
      </w:r>
      <w:r>
        <w:t>))</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w:t>
      </w:r>
      <w:r>
        <w:t>((</w:t>
      </w:r>
      <w:r>
        <w:rPr>
          <w:strike/>
        </w:rPr>
        <w:t xml:space="preserve">rural</w:t>
      </w:r>
      <w:r>
        <w:t>))</w:t>
      </w:r>
      <w:r>
        <w:rPr/>
        <w:t xml:space="preserve"> port district under this title.</w:t>
      </w:r>
    </w:p>
    <w:p>
      <w:pPr>
        <w:spacing w:before="0" w:after="0" w:line="408" w:lineRule="exact"/>
        <w:ind w:left="0" w:right="0" w:firstLine="576"/>
        <w:jc w:val="left"/>
      </w:pPr>
      <w:r>
        <w:rPr>
          <w:u w:val="single"/>
        </w:rPr>
        <w:t xml:space="preserve">(7) A port district that has not exercised the authorities provided in this section prior to the effective date of this act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u w:val="single"/>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w:t>
      </w:r>
      <w:r>
        <w:t>((</w:t>
      </w:r>
      <w:r>
        <w:rPr>
          <w:strike/>
        </w:rPr>
        <w:t xml:space="preserve">rural</w:t>
      </w:r>
      <w:r>
        <w:t>))</w:t>
      </w:r>
      <w:r>
        <w:rPr/>
        <w:t xml:space="preserve"> port district may petition the commission under the procedures set forth in RCW 80.04.110 (1) through (3) if it believes the district's rates, terms, and conditions are unduly or unreasonably discriminatory or preferential.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w:t>
      </w:r>
      <w:r>
        <w:t>((</w:t>
      </w:r>
      <w:r>
        <w:rPr>
          <w:strike/>
        </w:rPr>
        <w:t xml:space="preserve">rural</w:t>
      </w:r>
      <w:r>
        <w:t>))</w:t>
      </w:r>
      <w:r>
        <w:rPr/>
        <w:t xml:space="preserve">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w:t>
      </w:r>
      <w:r>
        <w:t>((</w:t>
      </w:r>
      <w:r>
        <w:rPr>
          <w:strike/>
        </w:rPr>
        <w:t xml:space="preserve">rural</w:t>
      </w:r>
      <w:r>
        <w:t>))</w:t>
      </w:r>
      <w:r>
        <w:rPr/>
        <w:t xml:space="preserve"> port district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
      <w:pPr>
        <w:jc w:val="center"/>
      </w:pPr>
      <w:r>
        <w:rPr>
          <w:b/>
        </w:rPr>
        <w:t>--- END ---</w:t>
      </w:r>
    </w:p>
    <w:sectPr>
      <w:pgNumType w:start="1"/>
      <w:footerReference xmlns:r="http://schemas.openxmlformats.org/officeDocument/2006/relationships" r:id="Rc92ac94ab9de4e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186a138d24640" /><Relationship Type="http://schemas.openxmlformats.org/officeDocument/2006/relationships/footer" Target="/word/footer.xml" Id="Rc92ac94ab9de4e85" /></Relationships>
</file>