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4cad2653d941e5" /></Relationships>
</file>

<file path=word/document.xml><?xml version="1.0" encoding="utf-8"?>
<w:document xmlns:w="http://schemas.openxmlformats.org/wordprocessingml/2006/main">
  <w:body>
    <w:p>
      <w:r>
        <w:t>S-1036.3</w:t>
      </w:r>
    </w:p>
    <w:p>
      <w:pPr>
        <w:jc w:val="center"/>
      </w:pPr>
      <w:r>
        <w:t>_______________________________________________</w:t>
      </w:r>
    </w:p>
    <w:p/>
    <w:p>
      <w:pPr>
        <w:jc w:val="center"/>
      </w:pPr>
      <w:r>
        <w:rPr>
          <w:b/>
        </w:rPr>
        <w:t>SUBSTITUTE SENATE BILL 5094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Palumbo, Fain,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breed-based dog regulations; amending RCW 16.08.080 and 16.08.100;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the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any of the factors that cause dogs to become aggressive and place an undue hardship on responsible dog owners who provide proper socialization and training. The legislature intends to redirect the focus away from particular breeds and to instead encourage local jurisdictions to employ more effective and data-driven prevention models to control dangerous dogs and enhance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of:</w:t>
      </w:r>
    </w:p>
    <w:p>
      <w:pPr>
        <w:spacing w:before="0" w:after="0" w:line="408" w:lineRule="exact"/>
        <w:ind w:left="0" w:right="0" w:firstLine="576"/>
        <w:jc w:val="left"/>
      </w:pPr>
      <w:r>
        <w:rPr/>
        <w:t xml:space="preserve">(a) A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w:t>
      </w:r>
    </w:p>
    <w:p>
      <w:pPr>
        <w:spacing w:before="0" w:after="0" w:line="408" w:lineRule="exact"/>
        <w:ind w:left="0" w:right="0" w:firstLine="576"/>
        <w:jc w:val="left"/>
      </w:pPr>
      <w:r>
        <w:rPr/>
        <w:t xml:space="preserve">(b) A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rPr/>
        <w:t xml:space="preserve">(c) A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w:t>
      </w:r>
      <w:r>
        <w:rPr>
          <w:u w:val="single"/>
        </w:rPr>
        <w:t xml:space="preserve">Except as provided in section 4 of this act, n</w:t>
      </w:r>
      <w:r>
        <w:rPr/>
        <w:t xml:space="preserve">othing in this section limits a local authority in placing additional restrictions upon owners of dangerous dogs. This section does not require a local authority to allow a dangerous dog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w:t>
      </w:r>
      <w:r>
        <w:rPr>
          <w:strike/>
        </w:rPr>
        <w:t xml:space="preserve">solely</w:t>
      </w:r>
      <w:r>
        <w:rPr/>
        <w:t xml:space="preserve">))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rPr/>
        <w:t xml:space="preserve">(4) Any person entering a dog in a dog fight is guilty of a class C felony punishable in accordance with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upon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w:t>
      </w:r>
      <w:r>
        <w:rPr/>
        <w:noBreakHyphen/>
      </w:r>
      <w:r>
        <w:rPr/>
        <w:t xml:space="preserve">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dd776b411134b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5e6516f5b4689" /><Relationship Type="http://schemas.openxmlformats.org/officeDocument/2006/relationships/footer" Target="/word/footer.xml" Id="Rbdd776b411134b4e" /></Relationships>
</file>