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4448f6b2543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Billig, Miloscia, Hunt, Palumbo, Liias, Fain, Saldaña, Pedersen, Carlyle, Keiser, Cleveland, Mullet, Conway, and Kuderer)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seven hundred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seven hundred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sponsor shall not be liable for a violation of this section where the persons or entities making the largest contributions to the advertisement fail to report to the commission contributions to the sponsor.</w:t>
      </w:r>
    </w:p>
    <w:p>
      <w:pPr>
        <w:spacing w:before="0" w:after="0" w:line="408" w:lineRule="exact"/>
        <w:ind w:left="0" w:right="0" w:firstLine="576"/>
        <w:jc w:val="left"/>
      </w:pPr>
      <w:r>
        <w:rPr/>
        <w:t xml:space="preserve">(4) The commission is authorized to adopt rules, as needed, to prevent circumvention and effectuate the purposes of top five contributors information requirements,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8a957cea26034d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97595a2d14dde" /><Relationship Type="http://schemas.openxmlformats.org/officeDocument/2006/relationships/footer" Target="/word/footer.xml" Id="R8a957cea26034d81" /></Relationships>
</file>