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7c44416e34fa8" /></Relationships>
</file>

<file path=word/document.xml><?xml version="1.0" encoding="utf-8"?>
<w:document xmlns:w="http://schemas.openxmlformats.org/wordprocessingml/2006/main">
  <w:body>
    <w:p>
      <w:r>
        <w:t>S-0222.1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Wilson, Hobbs, Pedersen, Wellman, Palumbo, Darneille, and Keiser</w:t>
      </w:r>
    </w:p>
    <w:p/>
    <w:p>
      <w:r>
        <w:rPr>
          <w:t xml:space="preserve">Read first time 01/16/17.  </w:t>
        </w:rPr>
      </w:r>
      <w:r>
        <w:rPr>
          <w:t xml:space="preserve">Referred to Committee on Human Services, Mental Health &amp; Housing.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youth courts to have jurisdiction over transit infractions; and amending RCW 3.72.010.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</w:t>
      </w:r>
      <w:r>
        <w:rPr/>
        <w:t xml:space="preserve">.</w:t>
      </w:r>
      <w:r>
        <w:t xml:space="preserve">72</w:t>
      </w:r>
      <w:r>
        <w:rPr/>
        <w:t xml:space="preserve">.</w:t>
      </w:r>
      <w:r>
        <w:t xml:space="preserve">010</w:t>
      </w:r>
      <w:r>
        <w:rPr/>
        <w:t xml:space="preserve"> and 2005 c 73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court created under chapter 3.30, 3.46, 3.50, or 35.20 RCW may create a youth court. The youth court shall have jurisdiction over traffic </w:t>
      </w:r>
      <w:r>
        <w:rPr>
          <w:u w:val="single"/>
        </w:rPr>
        <w:t xml:space="preserve">and transit</w:t>
      </w:r>
      <w:r>
        <w:rPr/>
        <w:t xml:space="preserve"> infractions alleged to have been committed by juveniles age sixteen or seventeen. The court may refer a juvenile to the youth court upon request of any party or upon its own motion. However, a juvenile shall not be required under this section to have his or her traffic </w:t>
      </w:r>
      <w:r>
        <w:rPr>
          <w:u w:val="single"/>
        </w:rPr>
        <w:t xml:space="preserve">or transit</w:t>
      </w:r>
      <w:r>
        <w:rPr/>
        <w:t xml:space="preserve"> infraction referred to or disposed of by a youth court.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be referred to a youth court pursuant to this chapter, a juvenile: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May not have had a prior traffic </w:t>
      </w:r>
      <w:r>
        <w:rPr>
          <w:u w:val="single"/>
        </w:rPr>
        <w:t xml:space="preserve">or transit</w:t>
      </w:r>
      <w:r>
        <w:rPr/>
        <w:t xml:space="preserve"> infraction referred to a youth court;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May not be under the jurisdiction of any court for a violation of any provision of Title 46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May not have any convictions for a violation of any provision of Title 46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Must acknowledge that there is a high likelihood that he or she would be found to have committed the traffic </w:t>
      </w:r>
      <w:r>
        <w:rPr>
          <w:u w:val="single"/>
        </w:rPr>
        <w:t xml:space="preserve">or transit</w:t>
      </w:r>
      <w:r>
        <w:rPr/>
        <w:t xml:space="preserve"> infraction.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Nothing in this chapter shall interfere with the ability of juvenile courts to refer matters to youth courts that have been established to provide a diversion for matters involving juvenile offenders who are eligible for diversion pursuant to RCW 13.40.070 (6) and </w:t>
      </w: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(8)</w:t>
      </w:r>
      <w:r>
        <w:rPr/>
        <w:t xml:space="preserve"> and who agree, along with a parent, guardian, or legal custodian, to comply with the provisions of RCW 13.40.600.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Nothing in this chapter shall interfere with the ability of student courts to work with students who violate school rules and policies pursuant to RCW 28A.300.420.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f8a060369cf46e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cc9f611614f17" /><Relationship Type="http://schemas.openxmlformats.org/officeDocument/2006/relationships/footer" Target="/word/footer.xml" Id="R0f8a060369cf46e3" /></Relationships>
</file>