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bc3f3b99c4cd5" /></Relationships>
</file>

<file path=word/document.xml><?xml version="1.0" encoding="utf-8"?>
<w:document xmlns:w="http://schemas.openxmlformats.org/wordprocessingml/2006/main">
  <w:body>
    <w:p>
      <w:r>
        <w:t>S-1323.3</w:t>
      </w:r>
    </w:p>
    <w:p>
      <w:pPr>
        <w:jc w:val="center"/>
      </w:pPr>
      <w:r>
        <w:t>_______________________________________________</w:t>
      </w:r>
    </w:p>
    <w:p/>
    <w:p>
      <w:pPr>
        <w:jc w:val="center"/>
      </w:pPr>
      <w:r>
        <w:rPr>
          <w:b/>
        </w:rPr>
        <w:t>SUBSTITUTE SENATE BILL 5228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Honeyford, Rivers, Fortunato, Becker, Bailey, Ericksen, Warnick, and Pearson)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hydraulic project approval program jurisdiction;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hydraulic project approval program jurisdiction is established, with members as provided in this subsection.</w:t>
      </w:r>
    </w:p>
    <w:p>
      <w:pPr>
        <w:spacing w:before="0" w:after="0" w:line="408" w:lineRule="exact"/>
        <w:ind w:left="0" w:right="0" w:firstLine="576"/>
        <w:jc w:val="left"/>
      </w:pPr>
      <w:r>
        <w:rPr/>
        <w:t xml:space="preserve">(i) The president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(iii) The legislative members must appoint additional members representing stakeholders including, but not limited to, business, local government, agricultural, and conservation interests, and request representation from tribal governments.</w:t>
      </w:r>
    </w:p>
    <w:p>
      <w:pPr>
        <w:spacing w:before="0" w:after="0" w:line="408" w:lineRule="exact"/>
        <w:ind w:left="0" w:right="0" w:firstLine="576"/>
        <w:jc w:val="left"/>
      </w:pPr>
      <w:r>
        <w:rPr/>
        <w:t xml:space="preserve">(iv) The director of fish and wildlife, or the director's designee, must serve as a member.</w:t>
      </w:r>
    </w:p>
    <w:p>
      <w:pPr>
        <w:spacing w:before="0" w:after="0" w:line="408" w:lineRule="exact"/>
        <w:ind w:left="0" w:right="0" w:firstLine="576"/>
        <w:jc w:val="left"/>
      </w:pPr>
      <w:r>
        <w:rPr/>
        <w:t xml:space="preserve">(b) The task force must choose cochairs from among its legislative membership. The legislative members must convene the initial meeting of the task force.</w:t>
      </w:r>
    </w:p>
    <w:p>
      <w:pPr>
        <w:spacing w:before="0" w:after="0" w:line="408" w:lineRule="exact"/>
        <w:ind w:left="0" w:right="0" w:firstLine="576"/>
        <w:jc w:val="left"/>
      </w:pPr>
      <w:r>
        <w:rPr/>
        <w:t xml:space="preserve">(2) The task force must review current law, current and historical practices of the department of fish and wildlife, and alternative approaches concerning the extent of hydraulic project approval program jurisdiction.</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 The department of fish and wildlife must cooperate with the task force and provide information as the task force may reasonably request.</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provide a brief summary of its work and any recommendations to the appropriate committees of the legislature by October 1, 2017.</w:t>
      </w:r>
    </w:p>
    <w:p>
      <w:pPr>
        <w:spacing w:before="0" w:after="0" w:line="408" w:lineRule="exact"/>
        <w:ind w:left="0" w:right="0" w:firstLine="576"/>
        <w:jc w:val="left"/>
      </w:pPr>
      <w:r>
        <w:rPr/>
        <w:t xml:space="preserve">(7) This section expires June 30, 2018.</w:t>
      </w:r>
    </w:p>
    <w:p/>
    <w:p>
      <w:pPr>
        <w:jc w:val="center"/>
      </w:pPr>
      <w:r>
        <w:rPr>
          <w:b/>
        </w:rPr>
        <w:t>--- END ---</w:t>
      </w:r>
    </w:p>
    <w:sectPr>
      <w:pgNumType w:start="1"/>
      <w:footerReference xmlns:r="http://schemas.openxmlformats.org/officeDocument/2006/relationships" r:id="Rcaa131c600e443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ba9d24e6a4b46" /><Relationship Type="http://schemas.openxmlformats.org/officeDocument/2006/relationships/footer" Target="/word/footer.xml" Id="Rcaa131c600e4438b" /></Relationships>
</file>